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919" w:rsidRDefault="00CA3919">
      <w:pPr>
        <w:pStyle w:val="Title"/>
        <w:rPr>
          <w:rtl/>
        </w:rPr>
      </w:pPr>
      <w:r>
        <w:rPr>
          <w:rFonts w:hint="cs"/>
          <w:rtl/>
        </w:rPr>
        <w:t>بسم الله الرحمن الرحيم</w:t>
      </w:r>
    </w:p>
    <w:p w:rsidR="00CA3919" w:rsidRDefault="00CA3919">
      <w:pPr>
        <w:jc w:val="center"/>
        <w:rPr>
          <w:rFonts w:cs="AF_Diwani"/>
          <w:sz w:val="40"/>
          <w:szCs w:val="40"/>
          <w:rtl/>
        </w:rPr>
      </w:pPr>
    </w:p>
    <w:p w:rsidR="00CA3919" w:rsidRDefault="00CA3919">
      <w:pPr>
        <w:pStyle w:val="Subtitle"/>
        <w:rPr>
          <w:rFonts w:cs="Al-Kharashi 27"/>
          <w:b/>
          <w:bCs/>
          <w:sz w:val="48"/>
          <w:szCs w:val="48"/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التحضر والنظام الحضري في محافظة ديالى</w:t>
      </w:r>
    </w:p>
    <w:p w:rsidR="00CA3919" w:rsidRDefault="00CA3919">
      <w:pPr>
        <w:jc w:val="center"/>
        <w:rPr>
          <w:rFonts w:cs="AF_Unizah"/>
          <w:sz w:val="40"/>
          <w:szCs w:val="40"/>
          <w:rtl/>
        </w:rPr>
      </w:pPr>
    </w:p>
    <w:p w:rsidR="00CA3919" w:rsidRDefault="00CA3919">
      <w:pPr>
        <w:jc w:val="right"/>
        <w:rPr>
          <w:rFonts w:cs="AF_Diwani"/>
          <w:b/>
          <w:bCs/>
          <w:sz w:val="40"/>
          <w:szCs w:val="40"/>
          <w:rtl/>
        </w:rPr>
      </w:pPr>
      <w:r>
        <w:rPr>
          <w:rFonts w:cs="AF_Diwani" w:hint="cs"/>
          <w:b/>
          <w:bCs/>
          <w:sz w:val="40"/>
          <w:szCs w:val="40"/>
          <w:rtl/>
        </w:rPr>
        <w:t>أ.د. مضر خليل عمر الكيلاني</w:t>
      </w:r>
      <w:r>
        <w:rPr>
          <w:rStyle w:val="FootnoteReference"/>
          <w:rFonts w:cs="AF_Diwani"/>
          <w:b/>
          <w:bCs/>
          <w:sz w:val="40"/>
          <w:szCs w:val="40"/>
          <w:rtl/>
        </w:rPr>
        <w:footnoteReference w:customMarkFollows="1" w:id="1"/>
        <w:sym w:font="Symbol" w:char="F0A8"/>
      </w:r>
    </w:p>
    <w:p w:rsidR="00CA3919" w:rsidRDefault="00CA3919">
      <w:pPr>
        <w:rPr>
          <w:sz w:val="32"/>
          <w:szCs w:val="32"/>
          <w:rtl/>
        </w:rPr>
      </w:pPr>
    </w:p>
    <w:p w:rsidR="00CA3919" w:rsidRDefault="00CA3919">
      <w:pPr>
        <w:pStyle w:val="Subtitle"/>
        <w:rPr>
          <w:b/>
          <w:bCs/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المقدمة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إن موضوع التحضر في محافظة ديالى بحد ذاته يشكل مادة للبحث والتقصي في رسالة ماجستير ، وكذا موضوع النظام الحضري  فيها فهو يستحق أن يكون بحثا معمقا (أطروحة دكتوراه) . وان جمعهما في موضوع واحد أمر لا يمكن تغطيته إلا من خلال عرض مبتسر لأبرز  معطيات التحضر و النظام الحضري في محافظة ديالى . 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يجمع الباحثون ، على اختلاف تخصصاتهم ، على أن التحضر في ابسط معانيه هو سكنى الحضر (المدينة) والعيش بطريقة حياة تختلف عن المألوف في الريف . وان النظام الحضري هو الحالة التي تكون عليها المدن عندما ترتبط ببعض لتشكل كيانا متكاملا . هذا في ابسط المعاني ، وأقل كلام . ولدراسة التحضر أو النظام الحضري ، كل بمفرده ، مناحي ومناهج وزوايا نظر مختلفة . وما سيقدم في هذه الورقة لا يعدو أن يكون ضيقا محدودا ويمثل وجهة نظر فردية .</w:t>
      </w:r>
    </w:p>
    <w:p w:rsidR="00CA3919" w:rsidRDefault="00CA3919">
      <w:pPr>
        <w:pStyle w:val="Subtitle"/>
        <w:rPr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مشكلة البحث</w:t>
      </w:r>
    </w:p>
    <w:p w:rsidR="00CA3919" w:rsidRDefault="00CA3919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>بحكم موقعها تعاني محافظة ديالى من حركة هجرة مستمرة منها واليها ، فما يحدث في شمال العراق ، وفي شرقه ينعكس عليها سلبا وإيجابا . وقربها من بغداد جعل التركز السكاني في المستقرات البشرية القريبة من بغداد . وهذا القرب استلب من هذه المستقرات الكثير من السمات الحضارية والحضرية التي تتمتع بها المستقرات المناظرة في الحجم والبعيدة عن المركز . (وهذه مشكلة أخرى تستحق الدراسة المعمقة) . فالمشكلة تتمثل بعدم استقرارية النظام الحضري على مسار معين بحيث يمكن التنبؤ به .</w:t>
      </w:r>
    </w:p>
    <w:p w:rsidR="00CA3919" w:rsidRDefault="00CA3919">
      <w:pPr>
        <w:pStyle w:val="Subtitle"/>
        <w:rPr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فرضية البحث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التحضر في محافظة ديالى مرهون بالوضع السياسي بدرجة كبيرة ، والنظام الحضري فيها موثوق الصلة بطبيعة أراضيها (متموجة في الشمال و سهلية في الوسط والجنوب)  وامتداد نهر ديالى و روافده ، إضافة إلى الوضع السياسي العام للبلد . لذا يفترض أن :</w:t>
      </w:r>
    </w:p>
    <w:p w:rsidR="00CA3919" w:rsidRDefault="00CA3919">
      <w:pPr>
        <w:numPr>
          <w:ilvl w:val="0"/>
          <w:numId w:val="7"/>
        </w:numPr>
        <w:ind w:righ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التحضر في محافظة ديالى لا يستند على النمو الطبيعي للسكان فقط ، </w:t>
      </w:r>
    </w:p>
    <w:p w:rsidR="00CA3919" w:rsidRDefault="00CA3919">
      <w:pPr>
        <w:numPr>
          <w:ilvl w:val="0"/>
          <w:numId w:val="7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ما يطرأ على التحضر ينعكس على النظام الحضري في المحافظة</w:t>
      </w:r>
    </w:p>
    <w:p w:rsidR="00CA3919" w:rsidRDefault="00CA3919">
      <w:pPr>
        <w:numPr>
          <w:ilvl w:val="0"/>
          <w:numId w:val="7"/>
        </w:numPr>
        <w:ind w:righ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التأثير على عناصر النظام الحضري يتباين حسب موقعها الجغرافي  .</w:t>
      </w:r>
    </w:p>
    <w:p w:rsidR="00CA3919" w:rsidRDefault="00CA3919">
      <w:pPr>
        <w:pStyle w:val="Subtitle"/>
        <w:rPr>
          <w:rFonts w:cs="Al-Kharashi 27"/>
          <w:b/>
          <w:bCs/>
          <w:sz w:val="48"/>
          <w:szCs w:val="48"/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هدف البحث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يهدف البحث الإجابة عن تساؤلات تصب في فرضية البحث ، وهي :-</w:t>
      </w:r>
    </w:p>
    <w:p w:rsidR="00CA3919" w:rsidRDefault="00CA3919">
      <w:pPr>
        <w:numPr>
          <w:ilvl w:val="0"/>
          <w:numId w:val="9"/>
        </w:numPr>
        <w:ind w:righ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هل عملية التحضر في محافظة ديالى ناتجة عن الزيادة الطبيعية في السكان فقط ؟</w:t>
      </w:r>
    </w:p>
    <w:p w:rsidR="00CA3919" w:rsidRDefault="00CA3919">
      <w:pPr>
        <w:numPr>
          <w:ilvl w:val="0"/>
          <w:numId w:val="9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إلى أية درجة تنعكس عملية التحضر على النظام الحضري في المحافظة ؟</w:t>
      </w:r>
    </w:p>
    <w:p w:rsidR="00CA3919" w:rsidRDefault="00CA3919">
      <w:pPr>
        <w:numPr>
          <w:ilvl w:val="0"/>
          <w:numId w:val="9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إلى أية درجة يتباين تأثير عملية التحضر على عناصر النظام الحضري في محافظة ديالى ؟</w:t>
      </w:r>
    </w:p>
    <w:p w:rsidR="00CA3919" w:rsidRDefault="00CA3919">
      <w:pPr>
        <w:numPr>
          <w:ilvl w:val="0"/>
          <w:numId w:val="9"/>
        </w:numPr>
        <w:ind w:righ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هل هناك مسار محدد يسلكه النظام الحضري في ديالى ؟</w:t>
      </w:r>
    </w:p>
    <w:p w:rsidR="00CA3919" w:rsidRDefault="00CA3919">
      <w:pPr>
        <w:pStyle w:val="Subtitle"/>
        <w:rPr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منهج البحث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يعتمد البحث نتائج التعدادات السكانية لاستخلاص نسب التحضر و معاملات النمو ، والمقارنة بين المحافظة والقطر ، وبين المراكز الحضرية في المحافظة . وسيتم تسليط الضوء على ابرز معطيات التحضر في منطقة الدراسة  (العلاقة بين الحجم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المرتبة على وجه الخصوص) ، ثم أبرز معطيات النظام الحضري فيها مع عرض موجز لما طرأ على عناصر النظام .</w:t>
      </w:r>
    </w:p>
    <w:p w:rsidR="00CA3919" w:rsidRDefault="00CA3919">
      <w:pPr>
        <w:pStyle w:val="Subtitle"/>
        <w:rPr>
          <w:sz w:val="32"/>
          <w:szCs w:val="32"/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منطقة الدراسة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تبلغ مساحة محافظة ديالى (17685) كيلومترا مربعا ، وتقع وسط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شرق العراق لذا تحاددها إيران من الشرق ، ومن الشمال السليمانية والتأميم ومن الغرب محافظة صلاح الدين وبغداد ، ومن الجنوب محافظتي واسط و بغداد . وتمتد المحافظة بين دائرتي عرض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 xml:space="preserve">(33.3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35.6) شمالي خط الاستواء ، وخطي طول (44.22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45.56) شرقي كرينج . وتشكيلها الإداري يضم قضاء بعقوبة (وتتبعه نواحي كنعان ، وبني سعد) ، وقضاء المقدادي</w:t>
      </w:r>
      <w:r>
        <w:rPr>
          <w:rFonts w:hint="eastAsia"/>
          <w:sz w:val="32"/>
          <w:szCs w:val="32"/>
          <w:rtl/>
        </w:rPr>
        <w:t>ة</w:t>
      </w:r>
      <w:r>
        <w:rPr>
          <w:rFonts w:hint="cs"/>
          <w:sz w:val="32"/>
          <w:szCs w:val="32"/>
          <w:rtl/>
        </w:rPr>
        <w:t xml:space="preserve"> (ويدير نواحي أبي صيدا ، والوجيهية) ، وقضاء الخالص (وفيه نواحي المنصورية ، هبهب  و العظيم) ، وقضاء خانقين (ويضم ناحيتي جلولاء والسعدية) ، و قضاء بلدروز (وتتبعه ناحيتي مندلي وسيف سعد) ، و قضاء كفري (ويدير ناحية قرطبة) </w:t>
      </w:r>
      <w:r>
        <w:rPr>
          <w:rStyle w:val="FootnoteReference"/>
          <w:sz w:val="32"/>
          <w:szCs w:val="32"/>
          <w:rtl/>
        </w:rPr>
        <w:footnoteReference w:customMarkFollows="1" w:id="2"/>
        <w:sym w:font="Symbol" w:char="F0B7"/>
      </w:r>
    </w:p>
    <w:p w:rsidR="00CA3919" w:rsidRDefault="00CA3919">
      <w:pPr>
        <w:pStyle w:val="Subtitle"/>
        <w:rPr>
          <w:b/>
          <w:bCs/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التحضر في محافظة ديالى</w:t>
      </w:r>
    </w:p>
    <w:p w:rsidR="00CA3919" w:rsidRDefault="00CA3919">
      <w:pPr>
        <w:jc w:val="lowKashida"/>
        <w:rPr>
          <w:rFonts w:hint="cs"/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 xml:space="preserve">يرتبط التحضر بالحجم السكاني بدرجة رئيسية ، إضافة إلى مجموعة من العوامل الطبيعية والبشرية الأخرى . والنمو الطبيعي ناتج عن الحجم السكاني المستقر . يوضح الجدول (1) أن نمو سكان المحافظة كان أقل من معدل نمو سكان القطر وحتى الثمانينات ، ومن ثم فاقه بعد ذلك ، وهذا يؤشر التوجه إلى السكن حول بغداد بسبب سياسة حصر توسعها </w:t>
      </w:r>
      <w:r>
        <w:rPr>
          <w:sz w:val="32"/>
          <w:szCs w:val="32"/>
        </w:rPr>
        <w:t>urban containment</w:t>
      </w:r>
      <w:r>
        <w:rPr>
          <w:rFonts w:hint="cs"/>
          <w:sz w:val="32"/>
          <w:szCs w:val="32"/>
          <w:rtl/>
        </w:rPr>
        <w:t xml:space="preserve"> التي اتبعتها الحكومة آنذاك . كما تؤشر وجود حركة هجرة إلى محافظة ديالى . وعند النظر إلى معامل نمو السكان الحضر على مستوى المحافظة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و مقارنته مع قرينه على مستوى القطر يلاحظ تقاربا كبيرا  .</w:t>
      </w:r>
    </w:p>
    <w:p w:rsidR="00345227" w:rsidRDefault="00345227">
      <w:pPr>
        <w:jc w:val="lowKashida"/>
        <w:rPr>
          <w:rFonts w:hint="cs"/>
          <w:sz w:val="32"/>
          <w:szCs w:val="32"/>
          <w:rtl/>
        </w:rPr>
      </w:pPr>
    </w:p>
    <w:p w:rsidR="00345227" w:rsidRDefault="00345227">
      <w:pPr>
        <w:jc w:val="lowKashida"/>
        <w:rPr>
          <w:rFonts w:hint="cs"/>
          <w:sz w:val="32"/>
          <w:szCs w:val="32"/>
          <w:rtl/>
        </w:rPr>
      </w:pPr>
    </w:p>
    <w:p w:rsidR="00345227" w:rsidRDefault="00345227">
      <w:pPr>
        <w:jc w:val="lowKashida"/>
        <w:rPr>
          <w:rFonts w:hint="cs"/>
          <w:sz w:val="32"/>
          <w:szCs w:val="32"/>
          <w:rtl/>
        </w:rPr>
      </w:pPr>
    </w:p>
    <w:p w:rsidR="00345227" w:rsidRDefault="00345227">
      <w:pPr>
        <w:jc w:val="lowKashida"/>
        <w:rPr>
          <w:rFonts w:hint="cs"/>
          <w:sz w:val="32"/>
          <w:szCs w:val="32"/>
          <w:rtl/>
        </w:rPr>
      </w:pPr>
    </w:p>
    <w:p w:rsidR="00345227" w:rsidRDefault="00345227">
      <w:pPr>
        <w:jc w:val="lowKashida"/>
        <w:rPr>
          <w:rFonts w:hint="cs"/>
          <w:sz w:val="32"/>
          <w:szCs w:val="32"/>
          <w:rtl/>
        </w:rPr>
      </w:pPr>
    </w:p>
    <w:p w:rsidR="00345227" w:rsidRDefault="00345227">
      <w:pPr>
        <w:jc w:val="lowKashida"/>
        <w:rPr>
          <w:rFonts w:hint="cs"/>
          <w:sz w:val="32"/>
          <w:szCs w:val="32"/>
          <w:rtl/>
        </w:rPr>
      </w:pPr>
    </w:p>
    <w:p w:rsidR="00345227" w:rsidRDefault="00345227">
      <w:pPr>
        <w:jc w:val="lowKashida"/>
        <w:rPr>
          <w:sz w:val="32"/>
          <w:szCs w:val="32"/>
          <w:rtl/>
        </w:rPr>
      </w:pPr>
      <w:bookmarkStart w:id="0" w:name="_GoBack"/>
      <w:bookmarkEnd w:id="0"/>
    </w:p>
    <w:p w:rsidR="00CA3919" w:rsidRDefault="00CA391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lastRenderedPageBreak/>
        <w:t>جدول (1)</w:t>
      </w:r>
    </w:p>
    <w:p w:rsidR="00CA3919" w:rsidRDefault="00CA3919">
      <w:pPr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معامل نمو السكان و السكان الحضر في العراق و محافظة ديالى</w:t>
      </w:r>
      <w:r>
        <w:rPr>
          <w:rStyle w:val="FootnoteReference"/>
          <w:sz w:val="32"/>
          <w:szCs w:val="32"/>
          <w:rtl/>
        </w:rPr>
        <w:footnoteReference w:customMarkFollows="1" w:id="3"/>
        <w:sym w:font="Symbol" w:char="F08B"/>
      </w:r>
    </w:p>
    <w:tbl>
      <w:tblPr>
        <w:bidiVisual/>
        <w:tblW w:w="9109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890"/>
        <w:gridCol w:w="1428"/>
        <w:gridCol w:w="1814"/>
        <w:gridCol w:w="1814"/>
        <w:gridCol w:w="2163"/>
      </w:tblGrid>
      <w:tr w:rsidR="00E61180" w:rsidTr="00E61180">
        <w:trPr>
          <w:cantSplit/>
          <w:jc w:val="center"/>
        </w:trPr>
        <w:tc>
          <w:tcPr>
            <w:tcW w:w="1890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المدة الزمنية</w:t>
            </w:r>
          </w:p>
        </w:tc>
        <w:tc>
          <w:tcPr>
            <w:tcW w:w="3242" w:type="dxa"/>
            <w:gridSpan w:val="2"/>
          </w:tcPr>
          <w:p w:rsidR="00E61180" w:rsidRDefault="00E61180">
            <w:pPr>
              <w:jc w:val="center"/>
              <w:rPr>
                <w:caps/>
                <w:sz w:val="32"/>
                <w:szCs w:val="32"/>
                <w:rtl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معامل نمو السكان</w:t>
            </w:r>
          </w:p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الوطني              للمحافظة</w:t>
            </w:r>
          </w:p>
        </w:tc>
        <w:tc>
          <w:tcPr>
            <w:tcW w:w="3977" w:type="dxa"/>
            <w:gridSpan w:val="2"/>
          </w:tcPr>
          <w:p w:rsidR="00E61180" w:rsidRDefault="00E61180">
            <w:pPr>
              <w:jc w:val="center"/>
              <w:rPr>
                <w:caps/>
                <w:sz w:val="32"/>
                <w:szCs w:val="32"/>
                <w:rtl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معامل نمو السكان الحضر</w:t>
            </w:r>
          </w:p>
          <w:p w:rsidR="00E61180" w:rsidRDefault="00E61180">
            <w:r>
              <w:rPr>
                <w:rFonts w:hint="cs"/>
                <w:caps/>
                <w:sz w:val="32"/>
                <w:szCs w:val="32"/>
                <w:rtl/>
              </w:rPr>
              <w:t>الوطني                     للمحافظة</w:t>
            </w:r>
          </w:p>
        </w:tc>
      </w:tr>
      <w:tr w:rsidR="00E61180" w:rsidTr="00E61180">
        <w:trPr>
          <w:jc w:val="center"/>
        </w:trPr>
        <w:tc>
          <w:tcPr>
            <w:tcW w:w="189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47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1957</w:t>
            </w:r>
          </w:p>
        </w:tc>
        <w:tc>
          <w:tcPr>
            <w:tcW w:w="1428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2.7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1.9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4.2</w:t>
            </w:r>
          </w:p>
        </w:tc>
        <w:tc>
          <w:tcPr>
            <w:tcW w:w="216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4.0</w:t>
            </w:r>
          </w:p>
        </w:tc>
      </w:tr>
      <w:tr w:rsidR="00E61180" w:rsidTr="00E61180">
        <w:trPr>
          <w:jc w:val="center"/>
        </w:trPr>
        <w:tc>
          <w:tcPr>
            <w:tcW w:w="189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57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1977</w:t>
            </w:r>
          </w:p>
        </w:tc>
        <w:tc>
          <w:tcPr>
            <w:tcW w:w="1428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3.3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2.9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5.9</w:t>
            </w:r>
          </w:p>
        </w:tc>
        <w:tc>
          <w:tcPr>
            <w:tcW w:w="216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5.9</w:t>
            </w:r>
          </w:p>
        </w:tc>
      </w:tr>
      <w:tr w:rsidR="00E61180" w:rsidTr="00E61180">
        <w:trPr>
          <w:jc w:val="center"/>
        </w:trPr>
        <w:tc>
          <w:tcPr>
            <w:tcW w:w="189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77 </w:t>
            </w:r>
            <w:r>
              <w:rPr>
                <w:sz w:val="32"/>
                <w:szCs w:val="32"/>
                <w:rtl/>
              </w:rPr>
              <w:t>–</w:t>
            </w:r>
            <w:r>
              <w:rPr>
                <w:rFonts w:hint="cs"/>
                <w:sz w:val="32"/>
                <w:szCs w:val="32"/>
                <w:rtl/>
              </w:rPr>
              <w:t xml:space="preserve"> 1987</w:t>
            </w:r>
          </w:p>
        </w:tc>
        <w:tc>
          <w:tcPr>
            <w:tcW w:w="1428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3.1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3.4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4.1</w:t>
            </w:r>
          </w:p>
        </w:tc>
        <w:tc>
          <w:tcPr>
            <w:tcW w:w="216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4.6</w:t>
            </w:r>
          </w:p>
        </w:tc>
      </w:tr>
      <w:tr w:rsidR="00E61180" w:rsidTr="00E61180">
        <w:trPr>
          <w:jc w:val="center"/>
        </w:trPr>
        <w:tc>
          <w:tcPr>
            <w:tcW w:w="189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87 - 1997</w:t>
            </w:r>
          </w:p>
        </w:tc>
        <w:tc>
          <w:tcPr>
            <w:tcW w:w="1428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3.0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3.2</w:t>
            </w:r>
          </w:p>
        </w:tc>
        <w:tc>
          <w:tcPr>
            <w:tcW w:w="18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2.8</w:t>
            </w:r>
          </w:p>
        </w:tc>
        <w:tc>
          <w:tcPr>
            <w:tcW w:w="216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2.2</w:t>
            </w:r>
          </w:p>
        </w:tc>
      </w:tr>
    </w:tbl>
    <w:p w:rsidR="00CA3919" w:rsidRDefault="00CA3919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لقد كان  النمو الحضري في العراق متسارعا وحتى قبل ثورة تموز 1958 ، ولعل مرد ذلك إلى الهجرة الواسعة من الريف إلى المدن بسبب سيادة نظام الإقطاع آنذاك . واستمرت الهجرة بدون انقطاع بسبب استمرار عوامل الجذب الحضرية و نشاط عوامل الطرد الريفية . ولم يكن هذا حصرا على منطقة دون أخرى . أما خلال عقد التسعينات ، وبسبب الحصار المفروض على العراق ، وتردي الأوضاع الاقتصادية في المدن فقد تباطأت عملية التحضر نسبيا . ويستخلص من الجدول أيضا بان التحضر في محافظة ديالى قد واكب وتأثر بحركة التحضر في العراق . ولا يعني هذا عدم وجود تباينات واختلافات ، ولكل عند النظر على المستوى الواسع </w:t>
      </w:r>
      <w:r>
        <w:rPr>
          <w:sz w:val="32"/>
          <w:szCs w:val="32"/>
        </w:rPr>
        <w:t>macro-scale</w:t>
      </w:r>
      <w:r>
        <w:rPr>
          <w:rFonts w:hint="cs"/>
          <w:sz w:val="32"/>
          <w:szCs w:val="32"/>
          <w:rtl/>
        </w:rPr>
        <w:t xml:space="preserve"> فان عمليات التحضر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و أنماطها متشابهة بدرجة كبيرة . ورغم هذا ، وعند النظر إلى الموضوع من زاوية النسبة المئوية للسكان الحضر يلاحظ أن محافظة ديالى ما زالت تتسم بالسمات الريفية حيث لم تصل نسبة سكانها الحضر إلى نصف مجموع سكانها ، في وقت كانت نسبة السكان الحضر من مجموع سكان العراق (68.4%) عام 1997 ، وفي محافظة ديالى  فقط (42%) .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ولما كان تعداد السكان عام 1947 هو أول تعداد رسمي ، لذا سيعتمد ليشكل السنة التي تتم المقارنة على أساسها . ويقدم الجدول (2) مقارنة بين النسبة المئوية لنمو سكان المحافظة و النسبة المئوية لنمو السكان الحضر في المحافظة ، ومنه يستدل على تسارع النمو الحضري بما يفوق نمو السكان ، مما يؤكد حدوث حركة هجرة نحو مدن المحافظة . 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جدول (2)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النسبة المئوية لزيادة سكان محافظة ديالى و سكانها الحضر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234"/>
        <w:gridCol w:w="890"/>
        <w:gridCol w:w="1320"/>
        <w:gridCol w:w="1488"/>
        <w:gridCol w:w="1488"/>
        <w:gridCol w:w="1488"/>
      </w:tblGrid>
      <w:tr w:rsidR="00E61180" w:rsidTr="00E61180">
        <w:tc>
          <w:tcPr>
            <w:tcW w:w="2234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تعداد عام</w:t>
            </w:r>
          </w:p>
        </w:tc>
        <w:tc>
          <w:tcPr>
            <w:tcW w:w="881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1947</w:t>
            </w:r>
          </w:p>
        </w:tc>
        <w:tc>
          <w:tcPr>
            <w:tcW w:w="1320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57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77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87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1997</w:t>
            </w:r>
          </w:p>
        </w:tc>
      </w:tr>
      <w:tr w:rsidR="00E61180" w:rsidTr="00E61180">
        <w:tc>
          <w:tcPr>
            <w:tcW w:w="223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% سكان المحافظة</w:t>
            </w:r>
          </w:p>
        </w:tc>
        <w:tc>
          <w:tcPr>
            <w:tcW w:w="88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132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21.079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115.760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252.800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316.730</w:t>
            </w:r>
          </w:p>
        </w:tc>
      </w:tr>
      <w:tr w:rsidR="00E61180" w:rsidTr="00E61180">
        <w:tc>
          <w:tcPr>
            <w:tcW w:w="223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% سكانها الحضر</w:t>
            </w:r>
          </w:p>
        </w:tc>
        <w:tc>
          <w:tcPr>
            <w:tcW w:w="88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132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48.533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371.660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764.340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833.170</w:t>
            </w:r>
          </w:p>
        </w:tc>
      </w:tr>
      <w:tr w:rsidR="00E61180" w:rsidTr="00E61180">
        <w:tc>
          <w:tcPr>
            <w:tcW w:w="2234" w:type="dxa"/>
          </w:tcPr>
          <w:p w:rsidR="00E61180" w:rsidRDefault="00E61180">
            <w:pPr>
              <w:pStyle w:val="Heading1"/>
              <w:spacing w:line="360" w:lineRule="auto"/>
              <w:rPr>
                <w:rtl/>
              </w:rPr>
            </w:pPr>
            <w:r>
              <w:rPr>
                <w:rFonts w:hint="cs"/>
                <w:rtl/>
              </w:rPr>
              <w:t>الفرق في % للزيادة</w:t>
            </w:r>
          </w:p>
        </w:tc>
        <w:tc>
          <w:tcPr>
            <w:tcW w:w="881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صفر</w:t>
            </w:r>
          </w:p>
        </w:tc>
        <w:tc>
          <w:tcPr>
            <w:tcW w:w="1320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27.454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255.900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511.540</w:t>
            </w:r>
          </w:p>
        </w:tc>
        <w:tc>
          <w:tcPr>
            <w:tcW w:w="1488" w:type="dxa"/>
          </w:tcPr>
          <w:p w:rsidR="00E61180" w:rsidRDefault="00E61180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516.440</w:t>
            </w:r>
          </w:p>
        </w:tc>
      </w:tr>
    </w:tbl>
    <w:p w:rsidR="00CA3919" w:rsidRDefault="00CA3919">
      <w:pPr>
        <w:ind w:firstLine="720"/>
        <w:jc w:val="lowKashida"/>
        <w:rPr>
          <w:sz w:val="32"/>
          <w:szCs w:val="32"/>
          <w:rtl/>
        </w:rPr>
      </w:pP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فخلال نصف قرن ازداد عدد سكان المحافظة بنسبة (316.73%)  ، بينما كانت النسبة المئوية لزيادة السكان الحضر (833.17%)  عن السنة الأساس ، ولم يكن الفرق كبيرا بين النسبتين عام 1957 ، ولكنه أصبح هكذا عام 1977 (255.9%) ، وتضاعف </w:t>
      </w:r>
      <w:r>
        <w:rPr>
          <w:rFonts w:hint="cs"/>
          <w:sz w:val="32"/>
          <w:szCs w:val="32"/>
          <w:rtl/>
        </w:rPr>
        <w:lastRenderedPageBreak/>
        <w:t xml:space="preserve">الفرق في النسب المئوية للزيادة عام 1987 (511.54%) ، ولم يختلف الحال عام 1997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(516.44%) . مما يعني أن عوامل التحضر في محافظة ديالى نشطة لدرجة اصبح الفرق كبيرا قياسا بنسبة الزيادة في عدد سكان المحافظة .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وبحساب النسب المئوية للسكان و للسكان الحضر في الوحدات الإدارية لمحافظة ديالى للمدة 1977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1997 يتضح أن هناك تباينا بين النسب . فقضاء بعقوبة تميز بارتفاع نسبة السكان الحضر فيه ، كذا كانت خانقين مع ملاحظة أن الفرق كان عام 1977 واضحا لصالح السكان الحضر . ومن الجدول (3) يتضح أن أقضية المقدادية وبلدروز وكفري قد استقطبت مهاجرين حيث مالت النسبة للسكان الحضر فيها عام 1987 . أما الخالص فقد اتسمت بالريف ، وفي الواقع أن الهجرة إليها قد حدثت للعمل في الريف وفي المشاريع الزراعية أكثر من العمل داخل المدينة .  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وتعد الهجرة من ابرز العوامل التي تؤثر مباشرة وبفاعلية على النمو الحضري . ولموقع المحافظة (وسط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شرق العراق) علاقة كبيرة في الهجرة و طبيعتها ، حيث إنها عدت منطقة استقبال أولى للعديد من الأفراد والأسر للانتقال ما بين الجنوب والشمال ، وللبقاء قرب بغداد لاقتناص فرصة للانتقال إليها . فالدراسات</w:t>
      </w:r>
      <w:r>
        <w:rPr>
          <w:rStyle w:val="FootnoteReference"/>
          <w:sz w:val="32"/>
          <w:szCs w:val="32"/>
          <w:rtl/>
        </w:rPr>
        <w:footnoteReference w:customMarkFollows="1" w:id="4"/>
        <w:sym w:font="Symbol" w:char="F0C6"/>
      </w:r>
      <w:r>
        <w:rPr>
          <w:rFonts w:hint="cs"/>
          <w:sz w:val="32"/>
          <w:szCs w:val="32"/>
          <w:rtl/>
        </w:rPr>
        <w:t xml:space="preserve"> التي نظرت في التركيب السكاني وجدت أن حركة الانتقال من ديالى إلى بغداد و محافظة صلاح الدين ، ومنهما إلى ديالى نشطة خلال عقود السبعينات والثمانينات والتسعينات من القرن العشرين  . أما الهجرة إليها فكانت من محافظات ذي قار و واسط و ميسان بالدرجة الرئيسة . وكانت الهجرة الخارجة من ديالى باتجاه السليمانية والتأميم نشطة في عقدي السبعينات و الثمانينات ، واستمرت باتجاه التأميم في عقد التسعينات من القرن الماضي . وفي العقد الأخير برزت الانبار لاستقطاب الهجرة من ديالى ، ولم تبق محافظة من محافظات العراق إلا ولها نصيب في هذه الحركة السكانية  . 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جدول (3)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التوزيع النسبي للسكان والسكان الحضر بين اقضية محافظة ديالى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7"/>
        <w:gridCol w:w="1385"/>
        <w:gridCol w:w="1384"/>
        <w:gridCol w:w="1385"/>
        <w:gridCol w:w="1385"/>
        <w:gridCol w:w="1386"/>
        <w:gridCol w:w="1385"/>
      </w:tblGrid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القضاء</w:t>
            </w:r>
          </w:p>
        </w:tc>
        <w:tc>
          <w:tcPr>
            <w:tcW w:w="2769" w:type="dxa"/>
            <w:gridSpan w:val="2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1977</w:t>
            </w:r>
          </w:p>
        </w:tc>
        <w:tc>
          <w:tcPr>
            <w:tcW w:w="2770" w:type="dxa"/>
            <w:gridSpan w:val="2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1987</w:t>
            </w:r>
          </w:p>
        </w:tc>
        <w:tc>
          <w:tcPr>
            <w:tcW w:w="2771" w:type="dxa"/>
            <w:gridSpan w:val="2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1997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سكان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حضر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سكان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حضر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سكان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حضر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بعقوبة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29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36.618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32.8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42.292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40.3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47.722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مقدادية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15.7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13.590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13.9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14.134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15.9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14.113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خالص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18.9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9.667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19.3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14.699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20.3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12.207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خانقين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16.9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23.205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10.6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13.864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11.5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14.777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بلدروز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10.2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10.168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6.6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7.789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8.6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9.448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كفري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9.3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6.752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4.8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7.221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3.2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1.731</w:t>
            </w:r>
          </w:p>
        </w:tc>
      </w:tr>
      <w:tr w:rsidR="00E61180" w:rsidTr="00E61180">
        <w:trPr>
          <w:cantSplit/>
        </w:trPr>
        <w:tc>
          <w:tcPr>
            <w:tcW w:w="977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محافظة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138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138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  <w:tc>
          <w:tcPr>
            <w:tcW w:w="138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100</w:t>
            </w:r>
          </w:p>
        </w:tc>
      </w:tr>
    </w:tbl>
    <w:p w:rsidR="00CA3919" w:rsidRDefault="00CA3919">
      <w:pPr>
        <w:ind w:firstLine="720"/>
        <w:jc w:val="lowKashida"/>
        <w:rPr>
          <w:sz w:val="32"/>
          <w:szCs w:val="32"/>
          <w:rtl/>
        </w:rPr>
      </w:pP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وقبل تسليط الضوء على النظام الحضري في المحافظة ، من الضروري معرفة النسبة المئوية لما يشكله سكان  الوحدات الإدارية و المراكز الحضرية من مجموع سكان </w:t>
      </w:r>
      <w:r>
        <w:rPr>
          <w:rFonts w:hint="cs"/>
          <w:sz w:val="32"/>
          <w:szCs w:val="32"/>
          <w:rtl/>
        </w:rPr>
        <w:lastRenderedPageBreak/>
        <w:t>وحداتها الإدارية . وعند النظر إلى نسب السكان الحضر على مستوى الاقضية فالجدول (4) يوضح ما يلي :-</w:t>
      </w:r>
    </w:p>
    <w:p w:rsidR="00CA3919" w:rsidRDefault="00CA3919">
      <w:pPr>
        <w:numPr>
          <w:ilvl w:val="0"/>
          <w:numId w:val="3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ما زالت محافظة ديالى تتسم بالطابع الريفي .</w:t>
      </w:r>
    </w:p>
    <w:p w:rsidR="00CA3919" w:rsidRDefault="00CA3919">
      <w:pPr>
        <w:numPr>
          <w:ilvl w:val="0"/>
          <w:numId w:val="3"/>
        </w:numPr>
        <w:ind w:righ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سجل قضاء خانقين نسبا عالية في  التحضر خلال مدة الدراسة .</w:t>
      </w:r>
    </w:p>
    <w:p w:rsidR="00CA3919" w:rsidRDefault="00CA3919">
      <w:pPr>
        <w:numPr>
          <w:ilvl w:val="0"/>
          <w:numId w:val="3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ارتفعت نسبة السكان الحضر في أقضية كفري والخالص والمقدادية وبلدروز بشكل واضح عام 1987 .</w:t>
      </w:r>
    </w:p>
    <w:p w:rsidR="00CA3919" w:rsidRDefault="00CA3919">
      <w:pPr>
        <w:numPr>
          <w:ilvl w:val="0"/>
          <w:numId w:val="3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انخفضت نسب التحضر في عام 1997 في أقضية المحافظة عدا خانقين .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جدول (4) 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نسبة السكان الحضر في أقضية محافظة ديالى</w:t>
      </w:r>
    </w:p>
    <w:tbl>
      <w:tblPr>
        <w:bidiVisual/>
        <w:tblW w:w="0" w:type="auto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270"/>
        <w:gridCol w:w="2205"/>
        <w:gridCol w:w="2205"/>
        <w:gridCol w:w="2205"/>
      </w:tblGrid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 xml:space="preserve">القضاء 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% للحضر 1977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% للحضر 1987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% للحضر 1997</w:t>
            </w:r>
          </w:p>
        </w:tc>
      </w:tr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بعقوبة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52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52.3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49.9</w:t>
            </w:r>
          </w:p>
        </w:tc>
      </w:tr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المقدادية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35.6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41.2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37.4</w:t>
            </w:r>
          </w:p>
        </w:tc>
      </w:tr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الخالص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21.1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30.7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25.3</w:t>
            </w:r>
          </w:p>
        </w:tc>
      </w:tr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خانقين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56.8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52.8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54.1</w:t>
            </w:r>
          </w:p>
        </w:tc>
      </w:tr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بلدروز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41.2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47.8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45.9</w:t>
            </w:r>
          </w:p>
        </w:tc>
      </w:tr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كفري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29.8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60.3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22.6</w:t>
            </w:r>
          </w:p>
        </w:tc>
      </w:tr>
      <w:tr w:rsidR="00E61180" w:rsidTr="00E61180">
        <w:trPr>
          <w:jc w:val="center"/>
        </w:trPr>
        <w:tc>
          <w:tcPr>
            <w:tcW w:w="1270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المحافظة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41.2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46.2</w:t>
            </w:r>
          </w:p>
        </w:tc>
        <w:tc>
          <w:tcPr>
            <w:tcW w:w="2205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42.2</w:t>
            </w:r>
          </w:p>
        </w:tc>
      </w:tr>
    </w:tbl>
    <w:p w:rsidR="00CA3919" w:rsidRDefault="00CA3919">
      <w:pPr>
        <w:ind w:left="720"/>
        <w:jc w:val="lowKashida"/>
        <w:rPr>
          <w:sz w:val="32"/>
          <w:szCs w:val="32"/>
          <w:rtl/>
        </w:rPr>
      </w:pP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يعرض الجدول (5) النسب المئوية للسكان الحضر في مراكز أقضية ونواحي محافظة ديالى للأعوام 1977 ، 1987 ، و 1997 . ويسهل الشكل (1) عملية المقارنة البصرية من خلال تحويل الجدول إلى أعمدة بيانية ، رتبت تصاعديا حسب ما كانت عليه النسب عام 1977 . ومن  الجدول والرسم البياني يستدل على الآتي :-</w:t>
      </w:r>
    </w:p>
    <w:p w:rsidR="00CA3919" w:rsidRDefault="00CA3919">
      <w:pPr>
        <w:numPr>
          <w:ilvl w:val="0"/>
          <w:numId w:val="2"/>
        </w:numPr>
        <w:ind w:right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جاءت بعقوبة بأعلى نسبة عام 1977 ، وانخفضت النسبة بعد ذلك نتيجة التغيرات التي حصلت في تشكيلة القضاء الإدارية .</w:t>
      </w:r>
    </w:p>
    <w:p w:rsidR="00CA3919" w:rsidRDefault="00CA3919">
      <w:pPr>
        <w:numPr>
          <w:ilvl w:val="0"/>
          <w:numId w:val="2"/>
        </w:numPr>
        <w:ind w:righ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تراجعت نسب السكان الحضر عام 1987 في سيف سعد و مندلي بسبب ظروف الحرب .</w:t>
      </w:r>
    </w:p>
    <w:p w:rsidR="00CA3919" w:rsidRDefault="00CA3919">
      <w:pPr>
        <w:numPr>
          <w:ilvl w:val="0"/>
          <w:numId w:val="2"/>
        </w:numPr>
        <w:ind w:righ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بالمقابل ارتفعت النسبة في جلولاء وأبى صيدا و كفري و المقدادية و بلدروز و قرطبة وهبهب و المنصورية و العظيم لاستقبالها أعدادا كبيرة من المهاجرين .</w:t>
      </w:r>
    </w:p>
    <w:p w:rsidR="00CA3919" w:rsidRDefault="00CA3919">
      <w:pPr>
        <w:numPr>
          <w:ilvl w:val="0"/>
          <w:numId w:val="2"/>
        </w:numPr>
        <w:ind w:righ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حافظت مراكز حضرية على الزيادة في نسبها مثل المقدادية ، وقرطبة و كنعان و بني سعد والعظيم .</w:t>
      </w:r>
    </w:p>
    <w:p w:rsidR="00CA3919" w:rsidRDefault="00CA3919">
      <w:pPr>
        <w:numPr>
          <w:ilvl w:val="0"/>
          <w:numId w:val="2"/>
        </w:numPr>
        <w:ind w:right="0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مراكز استعادت عافيتها الحضرية عام 1997 ، وهي : خانقين ، مندلي ، سيف سعد .</w:t>
      </w:r>
    </w:p>
    <w:p w:rsidR="00CA3919" w:rsidRDefault="00CA3919">
      <w:pPr>
        <w:numPr>
          <w:ilvl w:val="0"/>
          <w:numId w:val="2"/>
        </w:numPr>
        <w:ind w:right="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تراجعت نسب الحضر في أبى صيدا و هبهب .  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  <w:r>
        <w:rPr>
          <w:rFonts w:hint="cs"/>
          <w:sz w:val="32"/>
          <w:szCs w:val="32"/>
          <w:rtl/>
        </w:rPr>
        <w:lastRenderedPageBreak/>
        <w:t>جدول (5)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النسب المئوية للسكان في مراكز أقضية ونواحي محافظة ديالى</w:t>
      </w:r>
    </w:p>
    <w:p w:rsidR="00CA3919" w:rsidRDefault="00CA3919">
      <w:pPr>
        <w:pStyle w:val="Heading2"/>
        <w:rPr>
          <w:rtl/>
        </w:rPr>
      </w:pPr>
      <w:r>
        <w:rPr>
          <w:rFonts w:hint="cs"/>
          <w:rtl/>
        </w:rPr>
        <w:t xml:space="preserve">للأعوام 1977 و 1987 و 1997 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2699"/>
        <w:gridCol w:w="2196"/>
        <w:gridCol w:w="2196"/>
        <w:gridCol w:w="2196"/>
      </w:tblGrid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الوحدة الإدارية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% للحضر 1977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% للحضر 1987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caps/>
                <w:sz w:val="28"/>
                <w:szCs w:val="28"/>
              </w:rPr>
            </w:pPr>
            <w:r>
              <w:rPr>
                <w:rFonts w:hint="cs"/>
                <w:caps/>
                <w:sz w:val="28"/>
                <w:szCs w:val="28"/>
                <w:rtl/>
              </w:rPr>
              <w:t>% للحضر 1997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قضاء بعقوبة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95.384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68.757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68.004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كنعان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12.614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34.569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35.006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بني سعد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12.315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13.946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15.612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قضاء المقدادية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39.902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47.596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48.080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أبى صيدا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43.283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45.876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23.448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الوجيهية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10.033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13.878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18.477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قضاء الخالص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39.730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34.581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34.778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المنصورية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5.519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19.375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18.703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هبهب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11.222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32.074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14.681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العظيم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2.977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15.395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15.470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قضاء خانقين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65.354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45.730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56.520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جلولاء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66.538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70.170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64.248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السعدية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46.710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37.618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35.006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قضاء بلدروز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25.398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59.471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51.908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مندلي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60.313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30.659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سيف سعد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30.565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21.292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34.679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قضاء كفري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41.181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77.014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*</w:t>
            </w:r>
          </w:p>
        </w:tc>
      </w:tr>
      <w:tr w:rsidR="00E61180" w:rsidTr="00E61180">
        <w:tc>
          <w:tcPr>
            <w:tcW w:w="2699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مركز ناحية قرطبة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22.519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33.935</w:t>
            </w:r>
          </w:p>
        </w:tc>
        <w:tc>
          <w:tcPr>
            <w:tcW w:w="2196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31.858</w:t>
            </w:r>
          </w:p>
        </w:tc>
      </w:tr>
    </w:tbl>
    <w:p w:rsidR="00CA3919" w:rsidRDefault="00CA3919">
      <w:pPr>
        <w:numPr>
          <w:ilvl w:val="0"/>
          <w:numId w:val="1"/>
        </w:numPr>
        <w:ind w:right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لم تتوفر بيانات عنها</w:t>
      </w:r>
    </w:p>
    <w:p w:rsidR="00CA3919" w:rsidRDefault="00CA3919">
      <w:pPr>
        <w:ind w:left="720"/>
        <w:jc w:val="center"/>
        <w:rPr>
          <w:b/>
          <w:bCs/>
        </w:rPr>
      </w:pPr>
      <w:r>
        <w:rPr>
          <w:rFonts w:hint="cs"/>
          <w:sz w:val="32"/>
          <w:szCs w:val="32"/>
          <w:rtl/>
        </w:rPr>
        <w:t xml:space="preserve">المصدر : العمر ، مضر خليل ، النظام الحضري في محافظة ديالى ، مجلة ديالى ، 15 \ 2003 </w:t>
      </w:r>
      <w:r>
        <w:rPr>
          <w:sz w:val="32"/>
          <w:szCs w:val="32"/>
          <w:rtl/>
        </w:rPr>
        <w:br w:type="page"/>
      </w:r>
      <w:r>
        <w:rPr>
          <w:rFonts w:hint="cs"/>
          <w:sz w:val="32"/>
          <w:szCs w:val="32"/>
          <w:rtl/>
        </w:rPr>
        <w:lastRenderedPageBreak/>
        <w:t>شكل (1)</w:t>
      </w:r>
    </w:p>
    <w:p w:rsidR="00CA3919" w:rsidRDefault="00CA3919">
      <w:pPr>
        <w:pStyle w:val="Heading3"/>
        <w:rPr>
          <w:b/>
          <w:bCs/>
          <w:szCs w:val="24"/>
        </w:rPr>
      </w:pPr>
      <w:r>
        <w:rPr>
          <w:rFonts w:hint="cs"/>
          <w:rtl/>
        </w:rPr>
        <w:t>مقارنة بيانية للنسب المئوية للسكان الحضر في الوحدات الإدارية لمحافظة ديالى</w:t>
      </w:r>
    </w:p>
    <w:p w:rsidR="00CA3919" w:rsidRDefault="006F1954">
      <w:pPr>
        <w:ind w:left="720"/>
        <w:jc w:val="center"/>
        <w:rPr>
          <w:b/>
          <w:bCs/>
          <w:rtl/>
        </w:rPr>
      </w:pPr>
      <w:r>
        <w:rPr>
          <w:noProof/>
          <w:sz w:val="32"/>
          <w:szCs w:val="32"/>
          <w:rtl/>
          <w:lang w:eastAsia="en-US"/>
        </w:rPr>
        <w:drawing>
          <wp:inline distT="0" distB="0" distL="0" distR="0">
            <wp:extent cx="5486400" cy="7058025"/>
            <wp:effectExtent l="0" t="0" r="0" b="0"/>
            <wp:docPr id="1" name="كائن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CA3919">
        <w:rPr>
          <w:sz w:val="32"/>
          <w:szCs w:val="32"/>
          <w:rtl/>
        </w:rPr>
        <w:br w:type="page"/>
      </w:r>
      <w:r w:rsidR="00CA3919">
        <w:rPr>
          <w:rFonts w:cs="Al-Kharashi 27" w:hint="cs"/>
          <w:b/>
          <w:bCs/>
          <w:sz w:val="48"/>
          <w:szCs w:val="48"/>
          <w:rtl/>
        </w:rPr>
        <w:lastRenderedPageBreak/>
        <w:t>النظام الحضري في محافظة ديالى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لدراسة النظام الحضري على مستوى الإقليم (المحافظة) فمن الضروري تسليط الضوء على موقع عناصر النظام الثانوي </w:t>
      </w:r>
      <w:r>
        <w:rPr>
          <w:sz w:val="32"/>
          <w:szCs w:val="32"/>
        </w:rPr>
        <w:t>Sub-system</w:t>
      </w:r>
      <w:r>
        <w:rPr>
          <w:rFonts w:hint="cs"/>
          <w:sz w:val="32"/>
          <w:szCs w:val="32"/>
          <w:rtl/>
        </w:rPr>
        <w:t xml:space="preserve"> ضمن إطارها الأوسع لكونها تشكل نظاما داخليا يحتويه نظام اكبر منه </w:t>
      </w:r>
      <w:r>
        <w:rPr>
          <w:sz w:val="32"/>
          <w:szCs w:val="32"/>
        </w:rPr>
        <w:t>System</w:t>
      </w:r>
      <w:r>
        <w:rPr>
          <w:rFonts w:hint="cs"/>
          <w:sz w:val="32"/>
          <w:szCs w:val="32"/>
          <w:rtl/>
        </w:rPr>
        <w:t xml:space="preserve"> ، وهذه حال جميع نظم الحياة البشرية والطبيعية </w:t>
      </w:r>
      <w:r>
        <w:rPr>
          <w:rStyle w:val="FootnoteReference"/>
          <w:rFonts w:hint="eastAsia"/>
          <w:sz w:val="32"/>
          <w:szCs w:val="32"/>
          <w:rtl/>
        </w:rPr>
        <w:footnoteReference w:customMarkFollows="1" w:id="5"/>
        <w:t>©</w:t>
      </w:r>
      <w:r>
        <w:rPr>
          <w:rFonts w:hint="cs"/>
          <w:sz w:val="32"/>
          <w:szCs w:val="32"/>
          <w:rtl/>
        </w:rPr>
        <w:t xml:space="preserve">.  فعند النظر إلى معامل نمو السكان الحضر توصل  الباحث إلى أن مدن محافظة ديالى قد جاءت بالمرتبة التالية لمدن الفرات الأوسط  (للمدة 1957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1965) بسبب خصب الأراضي الزراعية  و وجود مشاريع زراعية كبيرة ، إضافة إلى القرب من بغداد والتنميات الصناعية في إقليم بغداد الكبرى . واستمر الحال هكذا في المدة (1965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1977) حيث نمت المدن القريبة من بغداد بوتائر متصاعدة على محور الفرات الأوسط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ديالى . كما برزت أبى صيدا بنمو متميز خلال هذه المرحلة  أيضا .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وخلال المدة 1977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1987 برزت بلدروز بمعامل نمو يفوق غيرها من مدن المحافظة والعراق أيضا وذلك لاستقبالها الأعداد الغفيرة من المهاجرين من المناطق الحدودية الملتهبة جراء الحرب القائمة آنذاك مع إيران . وعند حساب معامل نمو السكان الحضر للمدة 1957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1987 فقد برزت مدينة بلدروز حيث كان نموها يفوق نمو مركز المحافظة </w:t>
      </w:r>
      <w:r>
        <w:rPr>
          <w:rStyle w:val="FootnoteReference"/>
          <w:sz w:val="32"/>
          <w:szCs w:val="32"/>
          <w:rtl/>
        </w:rPr>
        <w:footnoteReference w:customMarkFollows="1" w:id="6"/>
        <w:sym w:font="Symbol" w:char="F023"/>
      </w:r>
      <w:r>
        <w:rPr>
          <w:rFonts w:hint="cs"/>
          <w:sz w:val="32"/>
          <w:szCs w:val="32"/>
          <w:rtl/>
        </w:rPr>
        <w:t xml:space="preserve"> .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يعتمد الجغرافيون الفئات الحجمية كثيرا في دراساتهم ، ويفترضون وجود علاقة عكسية بين حجم الفئة وعدد المدن (المراكز الحضرية) ، أي في الفئات ذات الحجم السكاني الكبير يكون عدد المدن قليلا  (وتتباعد المسافات بينها) ، و يكون العدد كبيرا في الفئات ذات الأحجام القليلة السكان (وتكون المسافات الفاصلة بينها قصيرة) . ولهذا التوزيع الهرمي ما يقابله من نمط مكاني (المسافة الفاصلة بين المدن حسب أحجامها السكانية) . وفي الحالة (المثالية) يكون التوزيع سداسيا متداخل كخلايا النحل </w:t>
      </w:r>
      <w:r>
        <w:rPr>
          <w:rStyle w:val="FootnoteReference"/>
          <w:sz w:val="32"/>
          <w:szCs w:val="32"/>
          <w:rtl/>
        </w:rPr>
        <w:footnoteReference w:customMarkFollows="1" w:id="7"/>
        <w:sym w:font="Symbol" w:char="F0C4"/>
      </w:r>
      <w:r>
        <w:rPr>
          <w:rFonts w:hint="cs"/>
          <w:sz w:val="32"/>
          <w:szCs w:val="32"/>
          <w:rtl/>
        </w:rPr>
        <w:t xml:space="preserve">  . والحالة المثالية تؤشر مستوى متقدما من التنمية المتوازنة ، فدرجة الاقتراب منها والابتعاد تقيس مستوى تطور البلد أو الإقليم . وهذا بعد الأخذ بالحسبان الوضع الطبيعي لمنطقة الدراسة حيث يفترض وجود سهولة وصول متساوية في جميع الاتجاهات ولجميع المراكز الحضرية.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وبتوزيع المراكز الحضرية في محافظة ديالى إلى مجاميع ، والنظر إليها من الفئة الأكبر (مائة ألف نسمة فاكثر) إلى الأقل حجما (2000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2999 نسمة) وكما موضح في الجدول (6) ، وللمدة 1947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1997 ، يستشف الآتي :-</w:t>
      </w:r>
    </w:p>
    <w:p w:rsidR="00CA3919" w:rsidRDefault="00CA3919">
      <w:pPr>
        <w:numPr>
          <w:ilvl w:val="0"/>
          <w:numId w:val="5"/>
        </w:numPr>
        <w:tabs>
          <w:tab w:val="clear" w:pos="1785"/>
          <w:tab w:val="num" w:pos="1151"/>
        </w:tabs>
        <w:ind w:left="1151" w:right="0" w:hanging="36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لم تظهر مدينة بحجم سكاني (100 </w:t>
      </w:r>
      <w:r>
        <w:rPr>
          <w:sz w:val="32"/>
          <w:szCs w:val="32"/>
          <w:rtl/>
        </w:rPr>
        <w:t>ألف</w:t>
      </w:r>
      <w:r>
        <w:rPr>
          <w:rFonts w:hint="cs"/>
          <w:sz w:val="32"/>
          <w:szCs w:val="32"/>
          <w:rtl/>
        </w:rPr>
        <w:t xml:space="preserve"> نسمة) إلا  في عقد الثمانينات بسبب الهجرة من المناطق الحدودية نحو الداخل بسبب الحرب مع إيران  .</w:t>
      </w:r>
    </w:p>
    <w:p w:rsidR="00CA3919" w:rsidRDefault="00CA3919">
      <w:pPr>
        <w:numPr>
          <w:ilvl w:val="0"/>
          <w:numId w:val="5"/>
        </w:numPr>
        <w:tabs>
          <w:tab w:val="clear" w:pos="1785"/>
          <w:tab w:val="num" w:pos="1151"/>
        </w:tabs>
        <w:ind w:left="1151" w:right="0" w:hanging="36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لا يتوافق التوزيع العددي للمراكز مع الافتراض بالعلاقة العكسية المشار إليها آنفا ، ولا في أي من التعدادات السكانية .</w:t>
      </w:r>
    </w:p>
    <w:p w:rsidR="00CA3919" w:rsidRDefault="00CA3919">
      <w:pPr>
        <w:numPr>
          <w:ilvl w:val="0"/>
          <w:numId w:val="5"/>
        </w:numPr>
        <w:tabs>
          <w:tab w:val="clear" w:pos="1785"/>
          <w:tab w:val="num" w:pos="1151"/>
        </w:tabs>
        <w:ind w:left="1151" w:right="0" w:hanging="36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وجود (طفرات) في أعداد المراكز الحضرية بين الفئات ، وقد برز هذا في عقد السبعينات واستمر ما بعده .</w:t>
      </w:r>
    </w:p>
    <w:p w:rsidR="00CA3919" w:rsidRDefault="00CA3919">
      <w:pPr>
        <w:numPr>
          <w:ilvl w:val="0"/>
          <w:numId w:val="5"/>
        </w:numPr>
        <w:tabs>
          <w:tab w:val="clear" w:pos="1785"/>
          <w:tab w:val="num" w:pos="1151"/>
        </w:tabs>
        <w:ind w:left="1151" w:right="0" w:hanging="36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برزت ظاهرة المدينة الرئيسة خلال عقد الثمانينات فقط (حيث يكون الفرق كبيرا بين المدينة الأولى والمدينة الثانية) . </w:t>
      </w:r>
    </w:p>
    <w:p w:rsidR="00CA3919" w:rsidRDefault="00CA3919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تدفع هذه الاستنتاجات إلى النظر عن قرب إلى المراكز الحضرية و نموها والتغيرات التي حصلت فيها خلال مدة الدراسة . </w:t>
      </w:r>
      <w:r>
        <w:rPr>
          <w:rFonts w:hint="cs"/>
          <w:vanish/>
          <w:sz w:val="32"/>
          <w:szCs w:val="32"/>
          <w:rtl/>
        </w:rPr>
        <w:t xml:space="preserve">ي من التعدادات . فالحال بعيد عن المثال 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جدول (6)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عدد المراكز الحضرية ونسبة سكانها في محافظة ديالى مبوبة 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حسب حجمها السكاني </w:t>
      </w:r>
      <w:r>
        <w:rPr>
          <w:rStyle w:val="FootnoteReference"/>
          <w:sz w:val="32"/>
          <w:szCs w:val="32"/>
          <w:rtl/>
        </w:rPr>
        <w:footnoteReference w:customMarkFollows="1" w:id="8"/>
        <w:sym w:font="Symbol" w:char="F0E2"/>
      </w:r>
    </w:p>
    <w:tbl>
      <w:tblPr>
        <w:bidiVisual/>
        <w:tblW w:w="0" w:type="auto"/>
        <w:jc w:val="center"/>
        <w:tblInd w:w="-361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AF" w:firstRow="1" w:lastRow="0" w:firstColumn="1" w:lastColumn="0" w:noHBand="0" w:noVBand="0"/>
      </w:tblPr>
      <w:tblGrid>
        <w:gridCol w:w="113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  <w:gridCol w:w="774"/>
      </w:tblGrid>
      <w:tr w:rsidR="00E61180" w:rsidTr="00E61180">
        <w:trPr>
          <w:cantSplit/>
          <w:jc w:val="center"/>
        </w:trPr>
        <w:tc>
          <w:tcPr>
            <w:tcW w:w="1134" w:type="dxa"/>
            <w:vMerge w:val="restart"/>
            <w:textDirection w:val="btLr"/>
          </w:tcPr>
          <w:p w:rsidR="00E61180" w:rsidRDefault="00E61180">
            <w:pPr>
              <w:pStyle w:val="Heading1"/>
              <w:ind w:left="113" w:right="113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الفئة بالألف</w:t>
            </w:r>
          </w:p>
        </w:tc>
        <w:tc>
          <w:tcPr>
            <w:tcW w:w="1548" w:type="dxa"/>
            <w:gridSpan w:val="2"/>
          </w:tcPr>
          <w:p w:rsidR="00E61180" w:rsidRDefault="00E611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1947</w:t>
            </w:r>
          </w:p>
        </w:tc>
        <w:tc>
          <w:tcPr>
            <w:tcW w:w="1548" w:type="dxa"/>
            <w:gridSpan w:val="2"/>
          </w:tcPr>
          <w:p w:rsidR="00E61180" w:rsidRDefault="00E611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1957</w:t>
            </w:r>
          </w:p>
        </w:tc>
        <w:tc>
          <w:tcPr>
            <w:tcW w:w="1548" w:type="dxa"/>
            <w:gridSpan w:val="2"/>
          </w:tcPr>
          <w:p w:rsidR="00E61180" w:rsidRDefault="00E611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1977</w:t>
            </w:r>
          </w:p>
        </w:tc>
        <w:tc>
          <w:tcPr>
            <w:tcW w:w="1548" w:type="dxa"/>
            <w:gridSpan w:val="2"/>
          </w:tcPr>
          <w:p w:rsidR="00E61180" w:rsidRDefault="00E611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1987</w:t>
            </w:r>
          </w:p>
        </w:tc>
        <w:tc>
          <w:tcPr>
            <w:tcW w:w="1548" w:type="dxa"/>
            <w:gridSpan w:val="2"/>
          </w:tcPr>
          <w:p w:rsidR="00E61180" w:rsidRDefault="00E61180">
            <w:pPr>
              <w:jc w:val="center"/>
              <w:rPr>
                <w:b/>
                <w:bCs/>
                <w:caps/>
                <w:sz w:val="28"/>
                <w:szCs w:val="28"/>
              </w:rPr>
            </w:pPr>
            <w:r>
              <w:rPr>
                <w:rFonts w:hint="cs"/>
                <w:b/>
                <w:bCs/>
                <w:caps/>
                <w:sz w:val="28"/>
                <w:szCs w:val="28"/>
                <w:rtl/>
              </w:rPr>
              <w:t>1997</w:t>
            </w:r>
          </w:p>
        </w:tc>
      </w:tr>
      <w:tr w:rsidR="00E61180" w:rsidTr="00E61180">
        <w:trPr>
          <w:cantSplit/>
          <w:trHeight w:val="552"/>
          <w:jc w:val="center"/>
        </w:trPr>
        <w:tc>
          <w:tcPr>
            <w:tcW w:w="1134" w:type="dxa"/>
            <w:vMerge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عدد</w:t>
            </w:r>
          </w:p>
        </w:tc>
        <w:tc>
          <w:tcPr>
            <w:tcW w:w="77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%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100 +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32.9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36.3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99 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31.7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10.9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25 -49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12.2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34.9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28.1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20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24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8.8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35.2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21.9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7.5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10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43.1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4.5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4.9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5 </w:t>
            </w:r>
            <w:r>
              <w:rPr>
                <w:b/>
                <w:bCs/>
                <w:sz w:val="28"/>
                <w:szCs w:val="28"/>
                <w:rtl/>
              </w:rPr>
              <w:t>–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20.3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32.2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13.5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9.7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9.5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17.3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0.8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14.4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10.5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0.7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</w:tr>
      <w:tr w:rsidR="00E61180" w:rsidTr="00E61180">
        <w:trPr>
          <w:jc w:val="center"/>
        </w:trPr>
        <w:tc>
          <w:tcPr>
            <w:tcW w:w="113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4.8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4.1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-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774" w:type="dxa"/>
          </w:tcPr>
          <w:p w:rsidR="00E61180" w:rsidRDefault="00E6118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0.5</w:t>
            </w:r>
          </w:p>
        </w:tc>
      </w:tr>
    </w:tbl>
    <w:p w:rsidR="00CA3919" w:rsidRDefault="00CA3919">
      <w:pPr>
        <w:ind w:firstLine="720"/>
        <w:jc w:val="center"/>
        <w:rPr>
          <w:sz w:val="32"/>
          <w:szCs w:val="32"/>
          <w:rtl/>
        </w:rPr>
      </w:pPr>
    </w:p>
    <w:p w:rsidR="00CA3919" w:rsidRDefault="00CA3919">
      <w:pPr>
        <w:ind w:left="720"/>
        <w:jc w:val="center"/>
        <w:rPr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عناصر النظام الحضري</w:t>
      </w:r>
    </w:p>
    <w:p w:rsidR="00CA3919" w:rsidRDefault="00CA3919">
      <w:pPr>
        <w:ind w:firstLine="72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يقصد بعناصر النظام الحضري المراكز الحضرية التي يتكون منها ، والتي تتفاعل مع بعض لتشكل كلا متكاملا . ولا يسلط الضوء هنا على الحالة الديناميكية لعناصر النظام ، بل ما طرأ عليها من تغيرات في الحجم السكاني خلال مدة الدراسة . وتلخص الجداول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(7 و 8 و 9) ابرز هذه المعطيات :-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مدينة بعقوبة ،  مركز قضاء بعقوبة و مركز المحافظة ، تقع على جانبي نهر ديالى </w:t>
      </w:r>
      <w:r>
        <w:rPr>
          <w:sz w:val="32"/>
          <w:szCs w:val="32"/>
          <w:rtl/>
        </w:rPr>
        <w:br/>
      </w:r>
      <w:r>
        <w:rPr>
          <w:rFonts w:hint="cs"/>
          <w:sz w:val="32"/>
          <w:szCs w:val="32"/>
          <w:rtl/>
        </w:rPr>
        <w:t>و جدول سارية ، بين دائرتي عرض( 33.39  و 33.47 ) شمال خط الاستواء وبين خطي طول (44.35 و 44.40) شرقي خط كرينج</w:t>
      </w:r>
      <w:r>
        <w:rPr>
          <w:rStyle w:val="FootnoteReference"/>
          <w:sz w:val="32"/>
          <w:szCs w:val="32"/>
          <w:rtl/>
        </w:rPr>
        <w:footnoteReference w:customMarkFollows="1" w:id="9"/>
        <w:sym w:font="Symbol" w:char="F0D1"/>
      </w:r>
      <w:r>
        <w:rPr>
          <w:rFonts w:hint="cs"/>
          <w:sz w:val="32"/>
          <w:szCs w:val="32"/>
          <w:rtl/>
        </w:rPr>
        <w:t xml:space="preserve"> .  وتمتاز بمعاملات نمو عالية نسبيا ، عدا خلال المدة 1987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1997 . ولكونها مركز المحافظة فقد حافظت على الرتبة الأولى فيها ، ولم تصل إلى مستوى المدينة الطاغية </w:t>
      </w:r>
      <w:r>
        <w:rPr>
          <w:sz w:val="32"/>
          <w:szCs w:val="32"/>
        </w:rPr>
        <w:t>Primate city</w:t>
      </w:r>
      <w:r>
        <w:rPr>
          <w:rFonts w:hint="cs"/>
          <w:sz w:val="32"/>
          <w:szCs w:val="32"/>
          <w:rtl/>
        </w:rPr>
        <w:t xml:space="preserve"> ، فالفاصلة بينها و المدينة الثانية لم تكن كبيرة . وعلى الرغم من نموها المستمر إلا أنها </w:t>
      </w:r>
      <w:r>
        <w:rPr>
          <w:rFonts w:hint="cs"/>
          <w:sz w:val="32"/>
          <w:szCs w:val="32"/>
          <w:rtl/>
        </w:rPr>
        <w:lastRenderedPageBreak/>
        <w:t xml:space="preserve">كانت دون المتوقع للمدة (1947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1965) ولكن حجمها السكاني فاق المفترض بعد ذلك جراء الهجرة إليها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مدينة المقدادية ، مركز قضاء المقدادية ، وتحتل الجانب الأيسر من نهر ديالى عند تقاطع خط (34) شرقا مع دائرة عرض (45) شمالا ويخترقها نهر المقدادية من الشمال إلى الجنوب الشرقي ، ويحدها من الشمال نهر بابلان </w:t>
      </w:r>
      <w:r>
        <w:rPr>
          <w:rStyle w:val="FootnoteReference"/>
          <w:sz w:val="32"/>
          <w:szCs w:val="32"/>
          <w:rtl/>
        </w:rPr>
        <w:footnoteReference w:customMarkFollows="1" w:id="10"/>
        <w:sym w:font="Symbol" w:char="F0E3"/>
      </w:r>
      <w:r>
        <w:rPr>
          <w:rFonts w:hint="cs"/>
          <w:sz w:val="32"/>
          <w:szCs w:val="32"/>
          <w:rtl/>
        </w:rPr>
        <w:t xml:space="preserve"> .  ونموها السكاني متصل وبمعاملات عالية نسبيا ، وتقدمت في رتبتها من المدينة الرابعة لتحتل المرتبة الثانية . وقد كانت مرشحة لأن تكون مركز المحافظة بحكم موقعها في الوسط الجغرافي منها . ورغم نموها السكاني و مرتبتها الثانية فحجمها السكاني يقل عن المفترض خلال المدة (1977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1997) ، أي المتوقع أن يكون حجمها السكاني أكبر، وبالتالي دورها في الوظيفة الحضرية أكبر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مدينة الخالص ، مركز قضاء الخالص ، وتقدمت في رتبتها من المدينة السادسة إلى الرابعة ، وكان نموها متميزا خلال المدة (57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1965) ، وبشكل عام هي من المدن التي كان نموها متصلا وبمعاملات نمو عالية نسبيا . وقد كان حجمها السكاني يفوق المفترض ولكن منذ عقد الثمانينات فقد تغير الحال فاصبح دون ذلك . 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مدينة خانقين ، مركز قضاء خانقين ، من المدن التي عانت من هجرة منها ، فبعد أن كانت المدينة الثانية خلال المدة (1947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1965) تراجعت إلى المرتبة السابعة ، ثم استعادت جاذبيتها لتحتل المرتبة الثالثة في عقد التسعينات من القرن الماضي . وعدا خلال عقد السبعينات حيث فقدت الكثير من سكانها ، فان حجمها السكاني يفوق المفترض ، أي إن جاذبيتها السكانية ، ودورها الوظيفي يفوق المفترض . 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مدينة بلدروز ، مركز قضاء بلدروز ، مدينة تقدمت من المرتبة التاسعة إلى المرتبة الرابعة لجذبها للمهاجرين من المناطق الحدودية القريبة حيث بلغ معامل نموها السكاني (16.406) للمدة (77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1987) . وخلال المدة (1965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1977) كان حجمها السكاني دون المفترض ، إلا أنها قبل ذلك وبعده تفوقه . أي إنها قادرة على أن تلعب أدوارا متباينة طبقا للظرف السياسي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كفري ، مركز قضاء كفري ، نمت بشكل متصل واستفادت من موقعها البيني مع المحافظات الشمالية ونالت المرتبة السادسة ، (جدول 9) ولهذا فان حجمها السكاني كان يفوق المفترض طيلة مدة الدراسة . أي إن لها جاذبية سكانية بحكم موقعها ، وتمارس دورا يفوق المفترض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كنعان ، مركز ناحية كنعان ، من المدن السريعة النمو ، ورغم هذا فان حجمها الحقيقي يقل عن المفترض طيلة فترة الدراسة (جدول 8) ، أي بإمكانها أن تستوعب عددا آخر من السكان ، وأن تمارس وظيفة حضرية تفوق التي تؤديها حاليا .  وموقعها الإجمالي (12) من بين (18) مركزا حضريا في المحافظة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مدينة بني سعد ، مركز ناحية بني سعد ، من المدن المتسارعة النمو (جدول 7) بحكم قربها من بغداد ، ولذا نالت المرتبة (11) ،  وقد بقيت دون حجمها المفترض حتى عقد التسعينات حيث فاقته . وهي يمكن أن تكون ضاحية من ضواحي بغداد أو من توابعها  (بحكم قدرة بغداد على الجذب قياسا ببعقوبة) . 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 xml:space="preserve">مدينة أبى صيدا ، مركز ناحية أبى صيدا ، عانت من اضطراب في نموها ، بين نمو طبيعي و هجرة إليها و منها (جدول 7) ، وانعكس هذا على حجمها فقد فاق المفترض و قل عنه في غير تناغم (جدول 8) ، ونالت المرتبة الثامنة بين مدن المحافظة . 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الوجيهية ، مركز ناحية الوجيهية ، من المدن التي قفزت إلى المستوى الحضري لتفرض نفسها منذ عقد السبعينات ، ومع هذا بقي حجمها الحقيقي يقل عن المفترض  ولهذا السبب فان رتبتها بقيت في الربع الأخير (جدول 9) . بمعنى أنها قادرة على استيعاب أعداد أخرى من السكان ، وأن تمارس دورا حضريا أكبر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المنصورية ، مركز ناحية المنصورية ، مدينة تسارع نموها بشكل واضح خلال معظم مدة الدراسة ولكنه  تباطأ في عقد التسعينات ، ورغم هذا فان حجمها الحقيقي بقي دون المفترض ، وجاءت في الربع الأخير من الرتب . وهي أيضا قادرة على استيعاب المهاجرين إليها ، ولأن تؤدي مهاما حضرية أخرى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هبهب ، مركز ناحية هبهب ، عاشت اضطرابا في النمو السكاني فمن نمو متسارع  في السبعينات والثمانينات من القرن الماضي إلى هجرة معاكسة في التسعينات  ثم زيادة بعدها (جدول 7) ، ولقربها من بغداد و بعقوبة اثر في ذلك .  وقد انعكس هذا على حجمها الحقيقي الذي بقي في حالة لا توازن مع المفترض بين زيادة ونقصان (جدول 8) . ورتبتها الإجمالية (14 من 18) . أي إنها قادرة على أداء وظائف أكثر وأكبر مما تمارسه الآن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العظيم ، مركز ناحية العظيم ، مدينة انتقلت فجأة إلى الوجود الحضري خلال عقدي السبعينات والثمانينات من القرن الماضي ، وبنمو غير طبيعي ، ومع هذا فان قانون المرتبة الحجم يشير إلى أن حجمها السكان يفترض أن يكون اكثر من الحقيقي ، وأن تمارس مهاما حضرية أفضل وأكثر مما هي عليه . ومع ذلك فإنها بقيت في الربع الأخير من رتب مدن المحافظة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مدينة جلولاء ، مركز ناحية جلولاء ، مدينة استثمرت موقعها وقربها من خانقين لتستضيف المهاجرين إليها ، فقد نمت بشكل متسارع نسبيا ، وقد فاق حجمها الحقيقي المفترض منذ سبعينات القرن الماضي (جدول 8) ،  ومرتبتها الإجمالية هي الخامسة بين مدن المحافظة (جدول 9) . 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السعدية ، مركز ناحية السعدية ، توأم جلولاء وتسبقها في الوجود الحضري (جدول 7) ، ولكن حجمها السكاني كان يفوق المفترض حتى عقد الثمانينات و تناقص عنه لاحقا . نالت المرتبة السابعة بين مدن المحافظة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>مدينة مندلي ، مركز ناحية مندلي ، مدينة حدودية عانت الكثير من جراء الحرب ، فبعد أن كان حجمها السكاني يفوق المفترض لم تتوفر بيانات إحصائية عنها في تعداد عام 1987 بسبب الحرب و إخلائها ، وبعد توقف الحرب بدأت تستعيد سكانها ، وما زال حجمها يقل عن المفترض (جدول 8) ، لأن عددهم يقل عن العدد الذي كان فيها عام 1957 (جدول 7) . ورغم كل هذا فمرتبتها الإجمالية هي (9) بين مدن ديالى الثمانية عشر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مدينة سيف سعد ، مركز ناحية سيف سعد ، مدينة حدودية ، عانت من هجرة كبيرة ، واستعادت سكانها بعد توقف الحرب مع إيران (جدول 7) . ولكن حجمها السكاني بقي دون المفترض حسب قانون الحجم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المرتبة  ، ومرتبتها (15) . أي يمكن تعزيزها لتمارس مهاما حضرية أخرى .</w:t>
      </w:r>
    </w:p>
    <w:p w:rsidR="00CA3919" w:rsidRDefault="00CA3919">
      <w:pPr>
        <w:numPr>
          <w:ilvl w:val="0"/>
          <w:numId w:val="6"/>
        </w:numPr>
        <w:ind w:right="0"/>
        <w:jc w:val="lowKashida"/>
        <w:rPr>
          <w:sz w:val="32"/>
          <w:szCs w:val="32"/>
        </w:rPr>
      </w:pPr>
      <w:r>
        <w:rPr>
          <w:rFonts w:hint="cs"/>
          <w:sz w:val="32"/>
          <w:szCs w:val="32"/>
          <w:rtl/>
        </w:rPr>
        <w:lastRenderedPageBreak/>
        <w:t>مدينة قرطبة ، مركز ناحية قرطبة ، نموها متوازن مع ميل للتسارع في السبعينات والثمانينات من القرن الماضي . كان حجمها السكاني يفوق المفترض في بداية مدة الدراسة ولكنه قل عنه منذ ستينات القرن الماضي ، مما يعني إنها يمكن أن تؤدي دورا أفضل مما تقوم به حاليا . ومرتبتها العاشرة  (جدول 9) .</w:t>
      </w:r>
    </w:p>
    <w:p w:rsidR="00CA3919" w:rsidRDefault="00CA3919">
      <w:pPr>
        <w:ind w:left="360" w:firstLine="360"/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هذه لمحة سريعة وتقويم إجمالي للنظام الحضري وعناصره في محافظة ديالى من زاوية الحجم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المرتبة ، وما زال المجال مفتوحا للباحثين لدراسته من ناحية التنظيم المكاني </w:t>
      </w:r>
      <w:r>
        <w:rPr>
          <w:sz w:val="32"/>
          <w:szCs w:val="32"/>
        </w:rPr>
        <w:t>spatial organization</w:t>
      </w:r>
      <w:r>
        <w:rPr>
          <w:rFonts w:hint="cs"/>
          <w:sz w:val="32"/>
          <w:szCs w:val="32"/>
          <w:rtl/>
        </w:rPr>
        <w:t xml:space="preserve"> ومن الناحية الدينامية </w:t>
      </w:r>
      <w:r>
        <w:rPr>
          <w:sz w:val="32"/>
          <w:szCs w:val="32"/>
        </w:rPr>
        <w:t>dynamic state</w:t>
      </w:r>
      <w:r>
        <w:rPr>
          <w:rFonts w:hint="cs"/>
          <w:sz w:val="32"/>
          <w:szCs w:val="32"/>
          <w:rtl/>
        </w:rPr>
        <w:t xml:space="preserve"> ، وكل واحد منها يتطلب تعمقا و تحليلا يفوق ما قدم هنا . فما قدم هو وصف لحالة محددة . والله ولي التوفيق .</w:t>
      </w:r>
    </w:p>
    <w:p w:rsidR="00CA3919" w:rsidRDefault="00CA3919">
      <w:pPr>
        <w:ind w:firstLine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جدول (7)</w:t>
      </w:r>
    </w:p>
    <w:p w:rsidR="00CA3919" w:rsidRDefault="00CA3919">
      <w:pPr>
        <w:pStyle w:val="Heading2"/>
        <w:rPr>
          <w:rtl/>
        </w:rPr>
      </w:pPr>
      <w:r>
        <w:rPr>
          <w:rFonts w:hint="cs"/>
          <w:rtl/>
        </w:rPr>
        <w:t>معاملات نمو المراكز الحضرية في محافظة ديالى</w:t>
      </w:r>
    </w:p>
    <w:tbl>
      <w:tblPr>
        <w:bidiVisual/>
        <w:tblW w:w="0" w:type="auto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311"/>
        <w:gridCol w:w="1311"/>
        <w:gridCol w:w="1311"/>
        <w:gridCol w:w="1414"/>
        <w:gridCol w:w="1311"/>
        <w:gridCol w:w="1236"/>
        <w:gridCol w:w="1393"/>
      </w:tblGrid>
      <w:tr w:rsidR="00E61180" w:rsidTr="00E61180">
        <w:tc>
          <w:tcPr>
            <w:tcW w:w="1311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47 - 57</w:t>
            </w:r>
          </w:p>
        </w:tc>
        <w:tc>
          <w:tcPr>
            <w:tcW w:w="1311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57 - 65</w:t>
            </w:r>
          </w:p>
        </w:tc>
        <w:tc>
          <w:tcPr>
            <w:tcW w:w="1311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65 - 77</w:t>
            </w:r>
          </w:p>
        </w:tc>
        <w:tc>
          <w:tcPr>
            <w:tcW w:w="1414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الوحدة الإدارية</w:t>
            </w:r>
          </w:p>
        </w:tc>
        <w:tc>
          <w:tcPr>
            <w:tcW w:w="1311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77 - 87</w:t>
            </w:r>
          </w:p>
        </w:tc>
        <w:tc>
          <w:tcPr>
            <w:tcW w:w="1236" w:type="dxa"/>
            <w:vAlign w:val="center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87 - 97</w:t>
            </w:r>
          </w:p>
        </w:tc>
        <w:tc>
          <w:tcPr>
            <w:tcW w:w="1393" w:type="dxa"/>
            <w:vAlign w:val="center"/>
          </w:tcPr>
          <w:p w:rsidR="00E61180" w:rsidRDefault="00E61180">
            <w:pPr>
              <w:pStyle w:val="Heading4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57 - 97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5.843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8.236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6.668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بعقوبة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6.775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2.976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6.068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11.850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4.411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كنعان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14.950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3.997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8.326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5.651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6.520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بني سعد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15.915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6.669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8.655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6.140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6.002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4.778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مقدادية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5.781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3.429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4.931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2.222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1.804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9.533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أبى صيدا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3.761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-4.440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2.918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وجيهية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7.394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6.199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6.795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3.084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10.066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3.328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الخالص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5.208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3.158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5.071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0.925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5.971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منصورية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8.270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2.825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4.715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3.216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هبهب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15.847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-4.000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5.457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العظيم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20.872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4.747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12.521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6.707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5.577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1.887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خانقين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-4.668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4.981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1.680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3.825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جلولاء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3.302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1.276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2.284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0.329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3.677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3.097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السعدية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2.353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1.781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2.696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1.308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2.604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2.994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بلدروز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16.406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2.098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5.882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0.054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1.453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2.922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مندلي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-4.937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-1.369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سيف سعد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-6.460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10.855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1.887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4.595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2.185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كفري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7.472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4.565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4.565</w:t>
            </w:r>
          </w:p>
        </w:tc>
      </w:tr>
      <w:tr w:rsidR="00E61180" w:rsidTr="00E61180"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2.147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2.004</w:t>
            </w:r>
          </w:p>
        </w:tc>
        <w:tc>
          <w:tcPr>
            <w:tcW w:w="141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قرطبة</w:t>
            </w:r>
          </w:p>
        </w:tc>
        <w:tc>
          <w:tcPr>
            <w:tcW w:w="13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4.594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3.064</w:t>
            </w:r>
          </w:p>
        </w:tc>
        <w:tc>
          <w:tcPr>
            <w:tcW w:w="139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2.940</w:t>
            </w:r>
          </w:p>
        </w:tc>
      </w:tr>
    </w:tbl>
    <w:p w:rsidR="00CA3919" w:rsidRDefault="00CA3919">
      <w:pPr>
        <w:numPr>
          <w:ilvl w:val="0"/>
          <w:numId w:val="1"/>
        </w:numPr>
        <w:ind w:right="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لم تتوفر معلومات تساعد لحساب معامل النمو</w:t>
      </w:r>
    </w:p>
    <w:p w:rsidR="00CA3919" w:rsidRDefault="00CA3919">
      <w:pPr>
        <w:rPr>
          <w:rFonts w:cs="Simplified Arabic"/>
          <w:rtl/>
        </w:rPr>
      </w:pPr>
      <w:r>
        <w:rPr>
          <w:rFonts w:hint="cs"/>
          <w:sz w:val="32"/>
          <w:szCs w:val="32"/>
          <w:rtl/>
        </w:rPr>
        <w:t xml:space="preserve">المصدر : عمر ، مضر خليل ، </w:t>
      </w:r>
      <w:r>
        <w:rPr>
          <w:rFonts w:cs="Simplified Arabic" w:hint="cs"/>
          <w:sz w:val="28"/>
          <w:szCs w:val="28"/>
          <w:rtl/>
        </w:rPr>
        <w:t>النظام الحضري في محافظة ديالى</w:t>
      </w:r>
      <w:r>
        <w:rPr>
          <w:rFonts w:cs="Simplified Arabic" w:hint="cs"/>
          <w:rtl/>
        </w:rPr>
        <w:t xml:space="preserve"> ، مجلة ديالى ، 15 \ 2003 </w:t>
      </w:r>
    </w:p>
    <w:p w:rsidR="00CA3919" w:rsidRDefault="00CA3919">
      <w:pPr>
        <w:ind w:left="720"/>
        <w:jc w:val="center"/>
        <w:rPr>
          <w:sz w:val="32"/>
          <w:szCs w:val="32"/>
          <w:rtl/>
        </w:rPr>
      </w:pPr>
    </w:p>
    <w:p w:rsidR="00CA3919" w:rsidRDefault="00CA3919">
      <w:pPr>
        <w:ind w:left="720"/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  <w:r>
        <w:rPr>
          <w:rFonts w:hint="cs"/>
          <w:sz w:val="32"/>
          <w:szCs w:val="32"/>
          <w:rtl/>
        </w:rPr>
        <w:lastRenderedPageBreak/>
        <w:t>جدول ( 8)</w:t>
      </w:r>
    </w:p>
    <w:p w:rsidR="00CA3919" w:rsidRDefault="00CA3919">
      <w:pPr>
        <w:ind w:left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الفرو قا</w:t>
      </w:r>
      <w:r>
        <w:rPr>
          <w:rFonts w:hint="eastAsia"/>
          <w:sz w:val="32"/>
          <w:szCs w:val="32"/>
          <w:rtl/>
        </w:rPr>
        <w:t>ت</w:t>
      </w:r>
      <w:r>
        <w:rPr>
          <w:rFonts w:hint="cs"/>
          <w:sz w:val="32"/>
          <w:szCs w:val="32"/>
          <w:rtl/>
        </w:rPr>
        <w:t xml:space="preserve"> بين الحجم الحقيقي والمفترض</w:t>
      </w:r>
    </w:p>
    <w:p w:rsidR="00CA3919" w:rsidRDefault="00CA3919">
      <w:pPr>
        <w:ind w:left="720"/>
        <w:jc w:val="center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للمراكز الحضرية في محافظة ديالى</w:t>
      </w:r>
    </w:p>
    <w:tbl>
      <w:tblPr>
        <w:bidiVisual/>
        <w:tblW w:w="0" w:type="auto"/>
        <w:jc w:val="center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1236"/>
        <w:gridCol w:w="1396"/>
        <w:gridCol w:w="1864"/>
        <w:gridCol w:w="1236"/>
        <w:gridCol w:w="1404"/>
        <w:gridCol w:w="1404"/>
      </w:tblGrid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1957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1965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الوحدة الإدارية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1977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1987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caps/>
                <w:sz w:val="32"/>
                <w:szCs w:val="32"/>
              </w:rPr>
            </w:pPr>
            <w:r>
              <w:rPr>
                <w:rFonts w:hint="cs"/>
                <w:caps/>
                <w:sz w:val="32"/>
                <w:szCs w:val="32"/>
                <w:rtl/>
              </w:rPr>
              <w:t>1997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- 4857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 xml:space="preserve">- 6083  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بعقوبة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9272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34148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55736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- 1159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- 1902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كنعان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- 2054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- 873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- 4976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- 1030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- 1539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بني سعد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- 2198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- 42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1248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1816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1974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مقدادية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- 727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- 18186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- 17162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296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- 755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أبى صيدا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1660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466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- 3531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وجيهية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- 2283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- 4127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- 3942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1592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3628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الخالص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4240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- 8038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- 6769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- 819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- 1708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منصورية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- 1985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- 2570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- 3606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- 1164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هبهب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- 2240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1910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- 4436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العظيم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- 3469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- 5147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- 5968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3412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3035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خانقين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- 3982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2163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6153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- 1345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جلولاء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2714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4414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2425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510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20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السعدية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39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- 782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- 4335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701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- 98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بلدروز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- 292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1103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784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1982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4139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مندلي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4438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- 3662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- 211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سيف سعد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- 2286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- 5514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- 4667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1106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2428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كفري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1256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3483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*</w:t>
            </w:r>
          </w:p>
        </w:tc>
      </w:tr>
      <w:tr w:rsidR="00E61180" w:rsidTr="00E61180">
        <w:trPr>
          <w:jc w:val="center"/>
        </w:trPr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268</w:t>
            </w:r>
          </w:p>
        </w:tc>
        <w:tc>
          <w:tcPr>
            <w:tcW w:w="139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- 633</w:t>
            </w:r>
          </w:p>
        </w:tc>
        <w:tc>
          <w:tcPr>
            <w:tcW w:w="186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قرطبة</w:t>
            </w:r>
          </w:p>
        </w:tc>
        <w:tc>
          <w:tcPr>
            <w:tcW w:w="1236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- 2107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- 2428</w:t>
            </w:r>
          </w:p>
        </w:tc>
        <w:tc>
          <w:tcPr>
            <w:tcW w:w="1404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- 3313</w:t>
            </w:r>
          </w:p>
        </w:tc>
      </w:tr>
    </w:tbl>
    <w:p w:rsidR="00CA3919" w:rsidRDefault="00CA3919">
      <w:pPr>
        <w:ind w:left="720"/>
        <w:jc w:val="center"/>
        <w:rPr>
          <w:sz w:val="32"/>
          <w:szCs w:val="32"/>
          <w:rtl/>
        </w:rPr>
      </w:pPr>
    </w:p>
    <w:p w:rsidR="00CA3919" w:rsidRDefault="00CA3919">
      <w:pPr>
        <w:rPr>
          <w:rFonts w:cs="Simplified Arabic"/>
          <w:rtl/>
        </w:rPr>
      </w:pPr>
      <w:r>
        <w:rPr>
          <w:rFonts w:hint="cs"/>
          <w:sz w:val="32"/>
          <w:szCs w:val="32"/>
          <w:rtl/>
        </w:rPr>
        <w:t xml:space="preserve">المصدر : عمر ، مضر خليل ، </w:t>
      </w:r>
      <w:r>
        <w:rPr>
          <w:rFonts w:cs="Simplified Arabic" w:hint="cs"/>
          <w:sz w:val="28"/>
          <w:szCs w:val="28"/>
          <w:rtl/>
        </w:rPr>
        <w:t>النظام الحضري في محافظة ديالى</w:t>
      </w:r>
      <w:r>
        <w:rPr>
          <w:rFonts w:cs="Simplified Arabic" w:hint="cs"/>
          <w:rtl/>
        </w:rPr>
        <w:t xml:space="preserve"> ، مجلة ديالى ، 15 \ 2003 </w:t>
      </w:r>
    </w:p>
    <w:p w:rsidR="00CA3919" w:rsidRDefault="00CA3919">
      <w:pPr>
        <w:ind w:left="720"/>
        <w:jc w:val="center"/>
        <w:rPr>
          <w:sz w:val="32"/>
          <w:szCs w:val="32"/>
          <w:rtl/>
        </w:rPr>
      </w:pPr>
      <w:r>
        <w:rPr>
          <w:sz w:val="32"/>
          <w:szCs w:val="32"/>
          <w:rtl/>
        </w:rPr>
        <w:br w:type="page"/>
      </w:r>
      <w:r>
        <w:rPr>
          <w:rFonts w:hint="cs"/>
          <w:sz w:val="32"/>
          <w:szCs w:val="32"/>
          <w:rtl/>
        </w:rPr>
        <w:lastRenderedPageBreak/>
        <w:t>جدول (9)</w:t>
      </w:r>
    </w:p>
    <w:p w:rsidR="00CA3919" w:rsidRDefault="00CA3919">
      <w:pPr>
        <w:pStyle w:val="Heading3"/>
        <w:rPr>
          <w:rtl/>
        </w:rPr>
      </w:pPr>
      <w:r>
        <w:rPr>
          <w:rFonts w:hint="cs"/>
          <w:rtl/>
        </w:rPr>
        <w:t>رتب المراكز الحضرية في المحافظة حسب التعدادات السكانية</w:t>
      </w:r>
    </w:p>
    <w:tbl>
      <w:tblPr>
        <w:bidiVisual/>
        <w:tblW w:w="0" w:type="auto"/>
        <w:jc w:val="center"/>
        <w:tblInd w:w="720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0BF" w:firstRow="1" w:lastRow="0" w:firstColumn="1" w:lastColumn="0" w:noHBand="0" w:noVBand="0"/>
      </w:tblPr>
      <w:tblGrid>
        <w:gridCol w:w="713"/>
        <w:gridCol w:w="713"/>
        <w:gridCol w:w="713"/>
        <w:gridCol w:w="1218"/>
        <w:gridCol w:w="713"/>
        <w:gridCol w:w="713"/>
        <w:gridCol w:w="1111"/>
        <w:gridCol w:w="809"/>
      </w:tblGrid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57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65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77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المركز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87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97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مجموع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b/>
                <w:bCs/>
                <w:caps/>
                <w:sz w:val="32"/>
                <w:szCs w:val="32"/>
              </w:rPr>
            </w:pPr>
            <w:r>
              <w:rPr>
                <w:rFonts w:hint="cs"/>
                <w:b/>
                <w:bCs/>
                <w:caps/>
                <w:sz w:val="32"/>
                <w:szCs w:val="32"/>
                <w:rtl/>
              </w:rPr>
              <w:t>رتبة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بعقوبة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كنعان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63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بني سعد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59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مقدادية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>أبى صيدا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46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وجيهية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82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الخالص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22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218" w:type="dxa"/>
          </w:tcPr>
          <w:p w:rsidR="00E61180" w:rsidRDefault="00E61180">
            <w:pPr>
              <w:pStyle w:val="Heading5"/>
            </w:pPr>
            <w:r>
              <w:rPr>
                <w:rFonts w:hint="cs"/>
                <w:rtl/>
              </w:rPr>
              <w:t>منصورية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68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هبهب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71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14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العظيم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88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17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2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خانقين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19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جلولاء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السعدية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44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بلدروز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35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3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مندلي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48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1218" w:type="dxa"/>
          </w:tcPr>
          <w:p w:rsidR="00E61180" w:rsidRDefault="00E61180">
            <w:pPr>
              <w:pStyle w:val="Heading5"/>
            </w:pPr>
            <w:r>
              <w:rPr>
                <w:rFonts w:hint="cs"/>
                <w:rtl/>
              </w:rPr>
              <w:t>سيف سعد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16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74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15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7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كفري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18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43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6</w:t>
            </w:r>
          </w:p>
        </w:tc>
      </w:tr>
      <w:tr w:rsidR="00E61180" w:rsidTr="00E61180">
        <w:trPr>
          <w:jc w:val="center"/>
        </w:trPr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11</w:t>
            </w:r>
          </w:p>
        </w:tc>
        <w:tc>
          <w:tcPr>
            <w:tcW w:w="1218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قرطبة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13</w:t>
            </w:r>
          </w:p>
        </w:tc>
        <w:tc>
          <w:tcPr>
            <w:tcW w:w="713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12</w:t>
            </w:r>
          </w:p>
        </w:tc>
        <w:tc>
          <w:tcPr>
            <w:tcW w:w="1111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57</w:t>
            </w:r>
          </w:p>
        </w:tc>
        <w:tc>
          <w:tcPr>
            <w:tcW w:w="809" w:type="dxa"/>
          </w:tcPr>
          <w:p w:rsidR="00E61180" w:rsidRDefault="00E61180">
            <w:pPr>
              <w:jc w:val="center"/>
              <w:rPr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10</w:t>
            </w:r>
          </w:p>
        </w:tc>
      </w:tr>
    </w:tbl>
    <w:p w:rsidR="00CA3919" w:rsidRDefault="00CA3919">
      <w:pPr>
        <w:ind w:left="720"/>
        <w:jc w:val="center"/>
        <w:rPr>
          <w:sz w:val="32"/>
          <w:szCs w:val="32"/>
          <w:rtl/>
        </w:rPr>
      </w:pPr>
    </w:p>
    <w:p w:rsidR="00CA3919" w:rsidRDefault="00CA3919">
      <w:pPr>
        <w:rPr>
          <w:rFonts w:cs="Simplified Arabic"/>
          <w:rtl/>
        </w:rPr>
      </w:pPr>
      <w:r>
        <w:rPr>
          <w:rFonts w:hint="cs"/>
          <w:sz w:val="32"/>
          <w:szCs w:val="32"/>
          <w:rtl/>
        </w:rPr>
        <w:t xml:space="preserve">المصدر : عمر ، مضر خليل ، </w:t>
      </w:r>
      <w:r>
        <w:rPr>
          <w:rFonts w:cs="Simplified Arabic" w:hint="cs"/>
          <w:sz w:val="28"/>
          <w:szCs w:val="28"/>
          <w:rtl/>
        </w:rPr>
        <w:t>النظام الحضري في محافظة ديالى</w:t>
      </w:r>
      <w:r>
        <w:rPr>
          <w:rFonts w:cs="Simplified Arabic" w:hint="cs"/>
          <w:rtl/>
        </w:rPr>
        <w:t xml:space="preserve"> ، مجلة ديالى ، 15 \ 2003 </w:t>
      </w:r>
    </w:p>
    <w:p w:rsidR="00CA3919" w:rsidRDefault="00CA3919">
      <w:pPr>
        <w:ind w:left="720"/>
        <w:jc w:val="center"/>
        <w:rPr>
          <w:rFonts w:cs="Al-Kharashi 27"/>
          <w:b/>
          <w:bCs/>
          <w:sz w:val="48"/>
          <w:szCs w:val="48"/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الاستنتاجات</w:t>
      </w:r>
    </w:p>
    <w:p w:rsidR="00CA3919" w:rsidRDefault="00CA3919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 xml:space="preserve">عود إلى فرضيات البحث ، ومن خلال مقارنة معاملات نمو سكان المحافظة مع معاملات نمو السكان الحضر فيها ، ونسب سكان الاقضية مع نسب سكان الحضر فيها  ، وكذلك معاملات النمو لهذه الوحدات الإدارية توضح الفرق الكبير بين الاثنين والتباين بين الوحدات الإدارية في هذا المجال . لذا يمكن القول بان الفرضية الأولى (( أن التحضر في محافظة ديالى لم يستند على النمو الطبيعي للسكان)) صحيحة ، وبرهنتها أيضا نسبة الداخلين والخارجين من المحافظة إلى المحافظات المجاورة . </w:t>
      </w:r>
    </w:p>
    <w:p w:rsidR="00CA3919" w:rsidRDefault="00CA3919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 xml:space="preserve">التحضر هو العملية </w:t>
      </w:r>
      <w:r>
        <w:rPr>
          <w:sz w:val="32"/>
          <w:szCs w:val="32"/>
        </w:rPr>
        <w:t>process</w:t>
      </w:r>
      <w:r>
        <w:rPr>
          <w:rFonts w:hint="cs"/>
          <w:sz w:val="32"/>
          <w:szCs w:val="32"/>
          <w:rtl/>
        </w:rPr>
        <w:t xml:space="preserve"> والنظام هو الناتج </w:t>
      </w:r>
      <w:r>
        <w:rPr>
          <w:sz w:val="32"/>
          <w:szCs w:val="32"/>
        </w:rPr>
        <w:t>outcome</w:t>
      </w:r>
      <w:r>
        <w:rPr>
          <w:rFonts w:hint="cs"/>
          <w:sz w:val="32"/>
          <w:szCs w:val="32"/>
          <w:rtl/>
        </w:rPr>
        <w:t xml:space="preserve">  للعملية ، ولما كان التحضر متسارعا في أجزاء من المحافظة ، و في أجزاء أخرى متراجع جراء الهجرة  لذا فقد انعكس هذا جليا على لا استقرارية النظام الحضري . ولهذا يمكن القول بان الفرضية الثانية صحيحة أيضا ، فالنظام الحضري فيها غير مستقر على حال معين ، فهو مفتوح للتأثيرات الخارجية بالكامل بحكم موقع المحافظة و ظروف المنطقة .</w:t>
      </w:r>
    </w:p>
    <w:p w:rsidR="00CA3919" w:rsidRDefault="00CA3919">
      <w:pPr>
        <w:jc w:val="lowKashida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ab/>
        <w:t xml:space="preserve">من خلال وصف حال عناصر النظام الحضري في محافظة ديالى يتضح التباين الكبير في تأثير العمليات السياسية التي أطرت عملية التحضر في المحافظة . فالمدن القريبة من الحدود عانت اضطرابا واضحا في حركة السكان ، وكذا بعض المدن البينية ، مثل أبى </w:t>
      </w:r>
      <w:r>
        <w:rPr>
          <w:rFonts w:hint="cs"/>
          <w:sz w:val="32"/>
          <w:szCs w:val="32"/>
          <w:rtl/>
        </w:rPr>
        <w:lastRenderedPageBreak/>
        <w:t xml:space="preserve">صيدا و هبهب و الوجيهية ، وتنامى عدد سكان المدن القريبة من بغداد . فالفرضية الثالثة صحيحة أيضا . </w:t>
      </w:r>
    </w:p>
    <w:p w:rsidR="00CA3919" w:rsidRDefault="00CA3919">
      <w:pPr>
        <w:ind w:left="720"/>
        <w:jc w:val="center"/>
        <w:rPr>
          <w:rFonts w:cs="Al-Kharashi 27"/>
          <w:b/>
          <w:bCs/>
          <w:sz w:val="48"/>
          <w:szCs w:val="48"/>
          <w:rtl/>
        </w:rPr>
      </w:pPr>
    </w:p>
    <w:p w:rsidR="00CA3919" w:rsidRDefault="00CA3919">
      <w:pPr>
        <w:ind w:left="720"/>
        <w:jc w:val="center"/>
        <w:rPr>
          <w:sz w:val="32"/>
          <w:szCs w:val="32"/>
          <w:rtl/>
        </w:rPr>
      </w:pPr>
      <w:r>
        <w:rPr>
          <w:rFonts w:cs="Al-Kharashi 27" w:hint="cs"/>
          <w:b/>
          <w:bCs/>
          <w:sz w:val="48"/>
          <w:szCs w:val="48"/>
          <w:rtl/>
        </w:rPr>
        <w:t>المصادر والمراجع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الجبوري ، أزهار سلمان هادي ، 2005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إنشاء قاعدة معلومات مكانية لأغراض التخطيط وتقويم الخدمات المجتمعية في مدينة بعقوبة . رسالة ماجستير ، جامعة ديالى .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الجهاز المركزي للإحصاء ، 1965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نتائج التعداد العام للسكان لسنة 1965 ، بغداد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الجهاز المركزي للإحصاء ، 1977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نتائج التعداد العام للسكان لسنة 1977 ، بغداد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الجهاز المركزي للإحصاء 1987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نتائج التعداد العام للسكان لسنة 1987 ، بغداد 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الجهاز المركزي للإحصاء ، 1997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نتائج التعداد العام للسكان لسنة 1997 ، بغداد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العبيدي ، إسراء هيثم احمد صالح ، 2005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>إنشاء قاعدة معلومات مكانية لأغراض التخطيط وتقويم خدمتي الصحة والتعليم في مدينة المقدادية . رسالة ماجستير ، جامعة ديالى .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عمر ، مضر خليل ، 2003 </w:t>
      </w:r>
    </w:p>
    <w:p w:rsidR="00CA3919" w:rsidRDefault="00CA3919">
      <w:pPr>
        <w:ind w:left="360" w:firstLine="36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النظام الحضري في محافظة ديالى ، مجلة ديالى ، 15 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عمر ، مضر خليل ، 1999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الأنماط المكانية لنمو سكان مدن العراق : 1957 </w:t>
      </w:r>
      <w:r>
        <w:rPr>
          <w:sz w:val="32"/>
          <w:szCs w:val="32"/>
          <w:rtl/>
        </w:rPr>
        <w:t>–</w:t>
      </w:r>
      <w:r>
        <w:rPr>
          <w:rFonts w:hint="cs"/>
          <w:sz w:val="32"/>
          <w:szCs w:val="32"/>
          <w:rtl/>
        </w:rPr>
        <w:t xml:space="preserve"> 1997 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مجلة الآداب ، العدد 45 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 xml:space="preserve">العنبكي ، رقية مرشد حميد ، 2002 </w:t>
      </w:r>
    </w:p>
    <w:p w:rsidR="00CA3919" w:rsidRDefault="00CA3919">
      <w:pPr>
        <w:pStyle w:val="Heading6"/>
        <w:numPr>
          <w:ilvl w:val="0"/>
          <w:numId w:val="0"/>
        </w:numPr>
        <w:ind w:left="360" w:right="0" w:firstLine="360"/>
      </w:pPr>
      <w:r>
        <w:rPr>
          <w:rFonts w:hint="cs"/>
          <w:rtl/>
        </w:rPr>
        <w:t>محافظة ديالى : دراسة جيوبوليتيكية . رسالة ماجستير ، جامعة ديالى .</w:t>
      </w:r>
    </w:p>
    <w:p w:rsidR="00CA3919" w:rsidRDefault="00CA3919">
      <w:pPr>
        <w:pStyle w:val="Heading6"/>
        <w:rPr>
          <w:rtl/>
        </w:rPr>
      </w:pPr>
      <w:r>
        <w:rPr>
          <w:rFonts w:hint="cs"/>
          <w:rtl/>
        </w:rPr>
        <w:t>مديرية النفوس العامة 1957</w:t>
      </w:r>
    </w:p>
    <w:p w:rsidR="00CA3919" w:rsidRDefault="00CA3919">
      <w:pPr>
        <w:ind w:left="720"/>
        <w:rPr>
          <w:sz w:val="32"/>
          <w:szCs w:val="32"/>
          <w:rtl/>
        </w:rPr>
      </w:pPr>
      <w:r>
        <w:rPr>
          <w:rFonts w:hint="cs"/>
          <w:sz w:val="32"/>
          <w:szCs w:val="32"/>
          <w:rtl/>
        </w:rPr>
        <w:t xml:space="preserve">المجموعة الإحصائية لتسجيل عام 1957 ، بغداد </w:t>
      </w:r>
    </w:p>
    <w:p w:rsidR="00CA3919" w:rsidRDefault="00CA3919">
      <w:pPr>
        <w:ind w:left="720"/>
        <w:rPr>
          <w:sz w:val="32"/>
          <w:szCs w:val="32"/>
          <w:rtl/>
        </w:rPr>
      </w:pPr>
    </w:p>
    <w:p w:rsidR="00CA3919" w:rsidRDefault="00CA3919">
      <w:pPr>
        <w:pStyle w:val="FootnoteText"/>
        <w:bidi w:val="0"/>
        <w:rPr>
          <w:sz w:val="28"/>
          <w:szCs w:val="28"/>
          <w:rtl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Hagerstrand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2004 , The two vistas , </w:t>
      </w:r>
      <w:proofErr w:type="spellStart"/>
      <w:r>
        <w:rPr>
          <w:sz w:val="28"/>
          <w:szCs w:val="28"/>
        </w:rPr>
        <w:t>Geografiska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Annaler</w:t>
      </w:r>
      <w:proofErr w:type="spellEnd"/>
      <w:r>
        <w:rPr>
          <w:sz w:val="28"/>
          <w:szCs w:val="28"/>
        </w:rPr>
        <w:t xml:space="preserve"> , Ser. B , Human Geography , Dec. ,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 xml:space="preserve"> . </w:t>
      </w:r>
      <w:proofErr w:type="gramStart"/>
      <w:r>
        <w:rPr>
          <w:sz w:val="28"/>
          <w:szCs w:val="28"/>
        </w:rPr>
        <w:t>86 ,</w:t>
      </w:r>
      <w:proofErr w:type="gramEnd"/>
      <w:r>
        <w:rPr>
          <w:sz w:val="28"/>
          <w:szCs w:val="28"/>
        </w:rPr>
        <w:t xml:space="preserve"> Is., 4 , pp. 315-324</w:t>
      </w:r>
    </w:p>
    <w:p w:rsidR="00CA3919" w:rsidRDefault="00CA3919">
      <w:pPr>
        <w:bidi w:val="0"/>
        <w:ind w:left="720"/>
        <w:rPr>
          <w:sz w:val="32"/>
          <w:szCs w:val="32"/>
        </w:rPr>
      </w:pPr>
    </w:p>
    <w:p w:rsidR="00CA3919" w:rsidRDefault="00CA3919">
      <w:pPr>
        <w:rPr>
          <w:sz w:val="32"/>
          <w:szCs w:val="32"/>
          <w:rtl/>
        </w:rPr>
      </w:pPr>
    </w:p>
    <w:p w:rsidR="00CA3919" w:rsidRDefault="00CA3919">
      <w:pPr>
        <w:rPr>
          <w:sz w:val="32"/>
          <w:szCs w:val="32"/>
        </w:rPr>
      </w:pPr>
      <w:r>
        <w:rPr>
          <w:rFonts w:hint="cs"/>
          <w:sz w:val="32"/>
          <w:szCs w:val="32"/>
          <w:rtl/>
        </w:rPr>
        <w:t xml:space="preserve">ملاحظة : أحد المصادر سيتم الإشارة إليه عند النشر ، لأنه رسالة ماجستير لم تناقش بعد وقد اعتمد على بعض البيانات منها . </w:t>
      </w:r>
    </w:p>
    <w:p w:rsidR="00E61180" w:rsidRDefault="00E61180">
      <w:pPr>
        <w:rPr>
          <w:sz w:val="32"/>
          <w:szCs w:val="32"/>
        </w:rPr>
      </w:pPr>
      <w:r>
        <w:rPr>
          <w:sz w:val="32"/>
          <w:szCs w:val="32"/>
        </w:rPr>
        <w:br w:type="page"/>
      </w:r>
    </w:p>
    <w:p w:rsidR="00E61180" w:rsidRDefault="00E61180">
      <w:pPr>
        <w:rPr>
          <w:sz w:val="32"/>
          <w:szCs w:val="32"/>
        </w:rPr>
      </w:pPr>
    </w:p>
    <w:p w:rsidR="00E61180" w:rsidRDefault="00E61180">
      <w:r>
        <w:object w:dxaOrig="10094" w:dyaOrig="131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5.25pt;height:553.5pt" o:ole="" fillcolor="window">
            <v:imagedata r:id="rId9" o:title=""/>
          </v:shape>
          <o:OLEObject Type="Embed" ProgID="PBrush" ShapeID="_x0000_i1025" DrawAspect="Content" ObjectID="_1532936839" r:id="rId10"/>
        </w:object>
      </w:r>
    </w:p>
    <w:p w:rsidR="00E61180" w:rsidRDefault="00E61180">
      <w:r>
        <w:br w:type="page"/>
      </w:r>
    </w:p>
    <w:p w:rsidR="00E61180" w:rsidRDefault="00E61180"/>
    <w:p w:rsidR="00E61180" w:rsidRDefault="00E61180">
      <w:r>
        <w:object w:dxaOrig="9569" w:dyaOrig="13723">
          <v:shape id="_x0000_i1026" type="#_x0000_t75" style="width:425.25pt;height:609.75pt" o:ole="" fillcolor="window">
            <v:imagedata r:id="rId11" o:title=""/>
          </v:shape>
          <o:OLEObject Type="Embed" ProgID="PBrush" ShapeID="_x0000_i1026" DrawAspect="Content" ObjectID="_1532936840" r:id="rId12"/>
        </w:object>
      </w:r>
    </w:p>
    <w:p w:rsidR="00E61180" w:rsidRDefault="00E61180">
      <w:r>
        <w:br w:type="page"/>
      </w:r>
    </w:p>
    <w:p w:rsidR="00E61180" w:rsidRDefault="00E61180"/>
    <w:p w:rsidR="00E61180" w:rsidRDefault="00E61180">
      <w:r>
        <w:object w:dxaOrig="9794" w:dyaOrig="12613">
          <v:shape id="_x0000_i1027" type="#_x0000_t75" style="width:425.25pt;height:547.5pt" o:ole="" fillcolor="window">
            <v:imagedata r:id="rId13" o:title=""/>
          </v:shape>
          <o:OLEObject Type="Embed" ProgID="PBrush" ShapeID="_x0000_i1027" DrawAspect="Content" ObjectID="_1532936841" r:id="rId14"/>
        </w:object>
      </w:r>
    </w:p>
    <w:p w:rsidR="00E61180" w:rsidRDefault="00E61180">
      <w:r>
        <w:br w:type="page"/>
      </w:r>
    </w:p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6F1954">
      <w:r>
        <w:rPr>
          <w:noProof/>
          <w:rtl/>
          <w:lang w:eastAsia="en-US"/>
        </w:rPr>
        <w:drawing>
          <wp:inline distT="0" distB="0" distL="0" distR="0">
            <wp:extent cx="5448300" cy="3314700"/>
            <wp:effectExtent l="0" t="0" r="0" b="0"/>
            <wp:docPr id="5" name="كائن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9718F2" w:rsidRDefault="009718F2"/>
    <w:p w:rsidR="00E61180" w:rsidRDefault="006F1954">
      <w:pPr>
        <w:rPr>
          <w:sz w:val="32"/>
          <w:szCs w:val="32"/>
          <w:rtl/>
        </w:rPr>
      </w:pPr>
      <w:r>
        <w:rPr>
          <w:noProof/>
          <w:rtl/>
          <w:lang w:eastAsia="en-US"/>
        </w:rPr>
        <w:lastRenderedPageBreak/>
        <w:drawing>
          <wp:inline distT="0" distB="0" distL="0" distR="0">
            <wp:extent cx="5553075" cy="3371850"/>
            <wp:effectExtent l="0" t="0" r="0" b="0"/>
            <wp:docPr id="6" name="كائن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sectPr w:rsidR="00E61180">
      <w:footerReference w:type="even" r:id="rId17"/>
      <w:footerReference w:type="default" r:id="rId18"/>
      <w:endnotePr>
        <w:numFmt w:val="decimal"/>
      </w:endnotePr>
      <w:pgSz w:w="11906" w:h="16838"/>
      <w:pgMar w:top="1134" w:right="1701" w:bottom="1134" w:left="1134" w:header="709" w:footer="709" w:gutter="0"/>
      <w:pgBorders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1CA1" w:rsidRDefault="002D1CA1">
      <w:r>
        <w:separator/>
      </w:r>
    </w:p>
  </w:endnote>
  <w:endnote w:type="continuationSeparator" w:id="0">
    <w:p w:rsidR="002D1CA1" w:rsidRDefault="002D1C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plified Arabic">
    <w:altName w:val="Times New Roman"/>
    <w:panose1 w:val="02020603050405020304"/>
    <w:charset w:val="B2"/>
    <w:family w:val="auto"/>
    <w:pitch w:val="variable"/>
    <w:sig w:usb0="00002000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F_Diwani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F_Unizah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l-Kharashi 27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9" w:rsidRDefault="00CA391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CA3919" w:rsidRDefault="00CA3919">
    <w:pPr>
      <w:pStyle w:val="Footer"/>
      <w:rPr>
        <w:rtl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919" w:rsidRDefault="00CA3919">
    <w:pPr>
      <w:pStyle w:val="Footer"/>
      <w:framePr w:wrap="around" w:vAnchor="text" w:hAnchor="margin" w:xAlign="center" w:y="1"/>
      <w:rPr>
        <w:rStyle w:val="PageNumber"/>
        <w:rtl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 w:rsidR="00345227">
      <w:rPr>
        <w:rStyle w:val="PageNumber"/>
        <w:noProof/>
        <w:rtl/>
      </w:rPr>
      <w:t>8</w:t>
    </w:r>
    <w:r>
      <w:rPr>
        <w:rStyle w:val="PageNumber"/>
        <w:rtl/>
      </w:rPr>
      <w:fldChar w:fldCharType="end"/>
    </w:r>
  </w:p>
  <w:p w:rsidR="00CA3919" w:rsidRDefault="00CA3919">
    <w:pPr>
      <w:pStyle w:val="Footer"/>
      <w:rPr>
        <w:rtl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1CA1" w:rsidRDefault="002D1CA1">
      <w:r>
        <w:separator/>
      </w:r>
    </w:p>
  </w:footnote>
  <w:footnote w:type="continuationSeparator" w:id="0">
    <w:p w:rsidR="002D1CA1" w:rsidRDefault="002D1CA1">
      <w:r>
        <w:continuationSeparator/>
      </w:r>
    </w:p>
  </w:footnote>
  <w:footnote w:id="1">
    <w:p w:rsidR="00CA3919" w:rsidRDefault="00CA3919">
      <w:pPr>
        <w:pStyle w:val="FootnoteText"/>
        <w:rPr>
          <w:sz w:val="28"/>
          <w:szCs w:val="28"/>
        </w:rPr>
      </w:pPr>
      <w:r>
        <w:rPr>
          <w:rStyle w:val="FootnoteReference"/>
          <w:sz w:val="28"/>
          <w:szCs w:val="28"/>
        </w:rPr>
        <w:sym w:font="Symbol" w:char="F0A8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أستاذ الجغرافيا الاجتماعية ، كلية التربية </w:t>
      </w:r>
      <w:r w:rsidR="00706F95">
        <w:rPr>
          <w:sz w:val="28"/>
          <w:szCs w:val="28"/>
        </w:rPr>
        <w:t xml:space="preserve"> - </w:t>
      </w:r>
      <w:r w:rsidR="00706F95">
        <w:rPr>
          <w:rFonts w:hint="cs"/>
          <w:sz w:val="28"/>
          <w:szCs w:val="28"/>
          <w:rtl/>
          <w:lang w:bidi="ar-IQ"/>
        </w:rPr>
        <w:t xml:space="preserve"> الرازي </w:t>
      </w:r>
      <w:r>
        <w:rPr>
          <w:rFonts w:hint="cs"/>
          <w:sz w:val="28"/>
          <w:szCs w:val="28"/>
          <w:rtl/>
        </w:rPr>
        <w:t xml:space="preserve">، جامعة ديالى </w:t>
      </w:r>
      <w:r>
        <w:rPr>
          <w:sz w:val="28"/>
          <w:szCs w:val="28"/>
        </w:rPr>
        <w:t>mkaomar@yahoo.com</w:t>
      </w:r>
    </w:p>
  </w:footnote>
  <w:footnote w:id="2">
    <w:p w:rsidR="00CA3919" w:rsidRDefault="00CA3919">
      <w:pPr>
        <w:pStyle w:val="FootnoteText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sym w:font="Symbol" w:char="F0B7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حسب التشكيل الإداري السائد عام 1997 ، حيث جرت العديد من التعديلات الإدارية من ضم إلى وأخذ من المحافظة لوحدات متباينة في مستوياتها الإدارية . </w:t>
      </w:r>
    </w:p>
  </w:footnote>
  <w:footnote w:id="3">
    <w:p w:rsidR="00CA3919" w:rsidRDefault="00CA3919">
      <w:pPr>
        <w:pStyle w:val="FootnoteText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sym w:font="Symbol" w:char="F08B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بيانات </w:t>
      </w:r>
      <w:r>
        <w:rPr>
          <w:rFonts w:hint="cs"/>
          <w:sz w:val="28"/>
          <w:szCs w:val="28"/>
          <w:rtl/>
        </w:rPr>
        <w:t>الجدول (1 و 3)  مأخوذة من رسالة ماجستير لم تناقش بعد  ، وبعنوان (حركة التحضر في محافظة ديالى) ، وستتم الإشارة الكاملة إليها بعد المناقشة إن شاء الله .</w:t>
      </w:r>
    </w:p>
  </w:footnote>
  <w:footnote w:id="4">
    <w:p w:rsidR="00CA3919" w:rsidRDefault="00CA3919">
      <w:pPr>
        <w:pStyle w:val="FootnoteText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sym w:font="Symbol" w:char="F0C6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ينظر </w:t>
      </w:r>
      <w:r>
        <w:rPr>
          <w:rFonts w:hint="cs"/>
          <w:sz w:val="28"/>
          <w:szCs w:val="28"/>
          <w:rtl/>
        </w:rPr>
        <w:t>على سبيل المثال لا الحصر : العنبكي ، رقية مرشد حميد 2002 ، محافظة ديالى : دراسة جيوبولتيكية ، رسالة ماجستير ، جامعة ديالى ، ص 68 جدول (12)</w:t>
      </w:r>
    </w:p>
  </w:footnote>
  <w:footnote w:id="5">
    <w:p w:rsidR="00CA3919" w:rsidRDefault="00CA3919">
      <w:pPr>
        <w:pStyle w:val="FootnoteText"/>
        <w:bidi w:val="0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t>©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Torsten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Hagerstrand</w:t>
      </w:r>
      <w:proofErr w:type="spellEnd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2004 , The two vistas , </w:t>
      </w:r>
      <w:proofErr w:type="spellStart"/>
      <w:r>
        <w:rPr>
          <w:sz w:val="28"/>
          <w:szCs w:val="28"/>
        </w:rPr>
        <w:t>Geografiska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Annaler</w:t>
      </w:r>
      <w:proofErr w:type="spellEnd"/>
      <w:r>
        <w:rPr>
          <w:sz w:val="28"/>
          <w:szCs w:val="28"/>
        </w:rPr>
        <w:t xml:space="preserve"> , Ser. B , Human Geography , Dec. , </w:t>
      </w:r>
      <w:proofErr w:type="spellStart"/>
      <w:r>
        <w:rPr>
          <w:sz w:val="28"/>
          <w:szCs w:val="28"/>
        </w:rPr>
        <w:t>Vol</w:t>
      </w:r>
      <w:proofErr w:type="spellEnd"/>
      <w:r>
        <w:rPr>
          <w:sz w:val="28"/>
          <w:szCs w:val="28"/>
        </w:rPr>
        <w:t xml:space="preserve"> . 86 , Is., 4 , pp. 315-324</w:t>
      </w:r>
    </w:p>
  </w:footnote>
  <w:footnote w:id="6">
    <w:p w:rsidR="00CA3919" w:rsidRDefault="00CA3919">
      <w:pPr>
        <w:pStyle w:val="FootnoteText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sym w:font="Symbol" w:char="F023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ينظر  : عمر ، مضر خليل ، الأنماط المكانية لنمو سكان مدن العراق : 1957 </w:t>
      </w:r>
      <w:r>
        <w:rPr>
          <w:sz w:val="28"/>
          <w:szCs w:val="28"/>
          <w:rtl/>
        </w:rPr>
        <w:t>–</w:t>
      </w:r>
      <w:r>
        <w:rPr>
          <w:rFonts w:hint="cs"/>
          <w:sz w:val="28"/>
          <w:szCs w:val="28"/>
          <w:rtl/>
        </w:rPr>
        <w:t xml:space="preserve"> 1997 ، مجلة الآداب ، العدد 45 \ 1999</w:t>
      </w:r>
    </w:p>
  </w:footnote>
  <w:footnote w:id="7">
    <w:p w:rsidR="00CA3919" w:rsidRDefault="00CA3919">
      <w:pPr>
        <w:pStyle w:val="FootnoteText"/>
        <w:numPr>
          <w:ilvl w:val="0"/>
          <w:numId w:val="4"/>
        </w:numPr>
        <w:ind w:right="0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ينظر </w:t>
      </w:r>
      <w:r>
        <w:rPr>
          <w:rFonts w:hint="cs"/>
          <w:sz w:val="28"/>
          <w:szCs w:val="28"/>
          <w:rtl/>
        </w:rPr>
        <w:t xml:space="preserve">على سبيل المثال لا الحصر : حسين ، عبد الرزاق عباس ، جغرافية المدن ، مطبعة أسعد ، بغداد 1977 أو  </w:t>
      </w:r>
      <w:r>
        <w:rPr>
          <w:sz w:val="28"/>
          <w:szCs w:val="28"/>
        </w:rPr>
        <w:t xml:space="preserve">Short , J. R. </w:t>
      </w:r>
      <w:proofErr w:type="gramStart"/>
      <w:r>
        <w:rPr>
          <w:sz w:val="28"/>
          <w:szCs w:val="28"/>
        </w:rPr>
        <w:t>1980 ,</w:t>
      </w:r>
      <w:proofErr w:type="gramEnd"/>
      <w:r>
        <w:rPr>
          <w:sz w:val="28"/>
          <w:szCs w:val="28"/>
        </w:rPr>
        <w:t xml:space="preserve"> An Introduction to Urban Geography , </w:t>
      </w:r>
      <w:proofErr w:type="spellStart"/>
      <w:r>
        <w:rPr>
          <w:sz w:val="28"/>
          <w:szCs w:val="28"/>
        </w:rPr>
        <w:t>Routledge</w:t>
      </w:r>
      <w:proofErr w:type="spellEnd"/>
      <w:r>
        <w:rPr>
          <w:sz w:val="28"/>
          <w:szCs w:val="28"/>
        </w:rPr>
        <w:t xml:space="preserve"> &amp; </w:t>
      </w:r>
      <w:proofErr w:type="spellStart"/>
      <w:r>
        <w:rPr>
          <w:sz w:val="28"/>
          <w:szCs w:val="28"/>
        </w:rPr>
        <w:t>Kegan</w:t>
      </w:r>
      <w:proofErr w:type="spellEnd"/>
      <w:r>
        <w:rPr>
          <w:sz w:val="28"/>
          <w:szCs w:val="28"/>
        </w:rPr>
        <w:t xml:space="preserve"> Paul , London .</w:t>
      </w:r>
    </w:p>
  </w:footnote>
  <w:footnote w:id="8">
    <w:p w:rsidR="00CA3919" w:rsidRDefault="00CA3919">
      <w:pPr>
        <w:pStyle w:val="FootnoteText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sym w:font="Symbol" w:char="F0E2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>رسالة ماجستير لم تناقش بعد ، بعنوان حركة التحضر في محافظة ديالى ، وستتم الإشارة إليها بعد المناقشة إن شاء الله .</w:t>
      </w:r>
    </w:p>
  </w:footnote>
  <w:footnote w:id="9">
    <w:p w:rsidR="00CA3919" w:rsidRDefault="00CA3919">
      <w:pPr>
        <w:pStyle w:val="FootnoteText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sym w:font="Symbol" w:char="F0D1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الجبوري </w:t>
      </w:r>
      <w:r>
        <w:rPr>
          <w:rFonts w:hint="cs"/>
          <w:sz w:val="28"/>
          <w:szCs w:val="28"/>
          <w:rtl/>
        </w:rPr>
        <w:t>، أزهار سلمان هادي ، إنشاء قاعدة معلومات مكانية لأغراض التخطيط وتقويم الخدمات المجتمعية في مدينة بعقوبة ، رسالة ماجستير ، جامعة ديالى 2005 .</w:t>
      </w:r>
    </w:p>
  </w:footnote>
  <w:footnote w:id="10">
    <w:p w:rsidR="00CA3919" w:rsidRDefault="00CA3919">
      <w:pPr>
        <w:pStyle w:val="FootnoteText"/>
        <w:rPr>
          <w:sz w:val="28"/>
          <w:szCs w:val="28"/>
          <w:rtl/>
        </w:rPr>
      </w:pPr>
      <w:r>
        <w:rPr>
          <w:rStyle w:val="FootnoteReference"/>
          <w:sz w:val="28"/>
          <w:szCs w:val="28"/>
        </w:rPr>
        <w:sym w:font="Symbol" w:char="F0E3"/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العبيدي </w:t>
      </w:r>
      <w:r>
        <w:rPr>
          <w:rFonts w:hint="cs"/>
          <w:sz w:val="28"/>
          <w:szCs w:val="28"/>
          <w:rtl/>
        </w:rPr>
        <w:t>، إسراء هيثم احمد صالح ، إنشاء قاعدة معلومات مكانية لأغراض التخطيط وتقويم خدمتي الصحة والتعليم في مدينة المقدادية ، رسالة ماجستير ، جامعة ديالى 2005 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5FB5"/>
    <w:multiLevelType w:val="hybridMultilevel"/>
    <w:tmpl w:val="467EE710"/>
    <w:lvl w:ilvl="0" w:tplc="CA18A7EA">
      <w:start w:val="1"/>
      <w:numFmt w:val="decimal"/>
      <w:lvlText w:val="%1)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">
    <w:nsid w:val="04B54885"/>
    <w:multiLevelType w:val="hybridMultilevel"/>
    <w:tmpl w:val="D2F6B1DA"/>
    <w:lvl w:ilvl="0" w:tplc="A362900A">
      <w:start w:val="1"/>
      <w:numFmt w:val="bullet"/>
      <w:pStyle w:val="Heading6"/>
      <w:lvlText w:val="-"/>
      <w:lvlJc w:val="left"/>
      <w:pPr>
        <w:tabs>
          <w:tab w:val="num" w:pos="720"/>
        </w:tabs>
        <w:ind w:left="720" w:right="720" w:hanging="360"/>
      </w:pPr>
      <w:rPr>
        <w:rFonts w:ascii="Times New Roman" w:eastAsia="Times New Roman" w:hAnsi="Times New Roman" w:cs="Simplified Arabic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2">
    <w:nsid w:val="10314B20"/>
    <w:multiLevelType w:val="hybridMultilevel"/>
    <w:tmpl w:val="BFC6A7B2"/>
    <w:lvl w:ilvl="0" w:tplc="A71C5260">
      <w:start w:val="1"/>
      <w:numFmt w:val="decimal"/>
      <w:lvlText w:val="%1)"/>
      <w:lvlJc w:val="left"/>
      <w:pPr>
        <w:tabs>
          <w:tab w:val="num" w:pos="1080"/>
        </w:tabs>
        <w:ind w:left="1080" w:right="108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3">
    <w:nsid w:val="237C793F"/>
    <w:multiLevelType w:val="hybridMultilevel"/>
    <w:tmpl w:val="E0861478"/>
    <w:lvl w:ilvl="0" w:tplc="3B68894E">
      <w:start w:val="1"/>
      <w:numFmt w:val="decimal"/>
      <w:lvlText w:val="%1)"/>
      <w:lvlJc w:val="left"/>
      <w:pPr>
        <w:tabs>
          <w:tab w:val="num" w:pos="615"/>
        </w:tabs>
        <w:ind w:left="615" w:right="615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335"/>
        </w:tabs>
        <w:ind w:left="1335" w:right="1335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055"/>
        </w:tabs>
        <w:ind w:left="2055" w:right="2055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775"/>
        </w:tabs>
        <w:ind w:left="2775" w:right="2775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495"/>
        </w:tabs>
        <w:ind w:left="3495" w:right="3495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215"/>
        </w:tabs>
        <w:ind w:left="4215" w:right="4215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4935"/>
        </w:tabs>
        <w:ind w:left="4935" w:right="4935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655"/>
        </w:tabs>
        <w:ind w:left="5655" w:right="5655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375"/>
        </w:tabs>
        <w:ind w:left="6375" w:right="6375" w:hanging="180"/>
      </w:pPr>
    </w:lvl>
  </w:abstractNum>
  <w:abstractNum w:abstractNumId="4">
    <w:nsid w:val="2D96003D"/>
    <w:multiLevelType w:val="hybridMultilevel"/>
    <w:tmpl w:val="C7A24B8E"/>
    <w:lvl w:ilvl="0" w:tplc="CA7C8F58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5">
    <w:nsid w:val="31D44B05"/>
    <w:multiLevelType w:val="hybridMultilevel"/>
    <w:tmpl w:val="F942F1CC"/>
    <w:lvl w:ilvl="0" w:tplc="2214C556">
      <w:start w:val="7"/>
      <w:numFmt w:val="bullet"/>
      <w:lvlText w:val=""/>
      <w:lvlJc w:val="left"/>
      <w:pPr>
        <w:tabs>
          <w:tab w:val="num" w:pos="720"/>
        </w:tabs>
        <w:ind w:left="720" w:right="72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abstractNum w:abstractNumId="6">
    <w:nsid w:val="3A4A5B8C"/>
    <w:multiLevelType w:val="hybridMultilevel"/>
    <w:tmpl w:val="A302EE92"/>
    <w:lvl w:ilvl="0" w:tplc="DB90A508">
      <w:start w:val="31"/>
      <w:numFmt w:val="bullet"/>
      <w:lvlText w:val=""/>
      <w:lvlJc w:val="left"/>
      <w:pPr>
        <w:tabs>
          <w:tab w:val="num" w:pos="1080"/>
        </w:tabs>
        <w:ind w:left="1080" w:right="1080" w:hanging="360"/>
      </w:pPr>
      <w:rPr>
        <w:rFonts w:ascii="Symbol" w:eastAsia="Times New Roman" w:hAnsi="Symbol" w:cs="Times New Roman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1800"/>
        </w:tabs>
        <w:ind w:left="1800" w:right="180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2520"/>
        </w:tabs>
        <w:ind w:left="2520" w:right="252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3240"/>
        </w:tabs>
        <w:ind w:left="3240" w:right="324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3960"/>
        </w:tabs>
        <w:ind w:left="3960" w:right="396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4680"/>
        </w:tabs>
        <w:ind w:left="4680" w:right="46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5400"/>
        </w:tabs>
        <w:ind w:left="5400" w:right="540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6120"/>
        </w:tabs>
        <w:ind w:left="6120" w:right="612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6840"/>
        </w:tabs>
        <w:ind w:left="6840" w:right="6840" w:hanging="360"/>
      </w:pPr>
      <w:rPr>
        <w:rFonts w:ascii="Wingdings" w:hAnsi="Wingdings" w:hint="default"/>
      </w:rPr>
    </w:lvl>
  </w:abstractNum>
  <w:abstractNum w:abstractNumId="7">
    <w:nsid w:val="6C9C7827"/>
    <w:multiLevelType w:val="hybridMultilevel"/>
    <w:tmpl w:val="E6C251FC"/>
    <w:lvl w:ilvl="0" w:tplc="D2280778">
      <w:start w:val="1"/>
      <w:numFmt w:val="decimal"/>
      <w:lvlText w:val="%1)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8">
    <w:nsid w:val="72142E55"/>
    <w:multiLevelType w:val="hybridMultilevel"/>
    <w:tmpl w:val="B98E057C"/>
    <w:lvl w:ilvl="0" w:tplc="F45AC00A">
      <w:start w:val="1"/>
      <w:numFmt w:val="decimal"/>
      <w:lvlText w:val="%1)"/>
      <w:lvlJc w:val="left"/>
      <w:pPr>
        <w:tabs>
          <w:tab w:val="num" w:pos="1785"/>
        </w:tabs>
        <w:ind w:left="1785" w:right="1785" w:hanging="1065"/>
      </w:pPr>
      <w:rPr>
        <w:rFonts w:hint="cs"/>
      </w:rPr>
    </w:lvl>
    <w:lvl w:ilvl="1" w:tplc="04010019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0401001B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401000F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04010019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0401001B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0401000F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04010019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0401001B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E61180"/>
    <w:rsid w:val="00165CA3"/>
    <w:rsid w:val="002D1CA1"/>
    <w:rsid w:val="00345227"/>
    <w:rsid w:val="006F1954"/>
    <w:rsid w:val="00706F95"/>
    <w:rsid w:val="009718F2"/>
    <w:rsid w:val="00C3733F"/>
    <w:rsid w:val="00CA3919"/>
    <w:rsid w:val="00E6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ind w:firstLine="720"/>
      <w:jc w:val="center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ind w:left="720"/>
      <w:jc w:val="center"/>
      <w:outlineLvl w:val="2"/>
    </w:pPr>
    <w:rPr>
      <w:sz w:val="32"/>
      <w:szCs w:val="3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  <w:caps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sz w:val="28"/>
      <w:szCs w:val="28"/>
    </w:rPr>
  </w:style>
  <w:style w:type="paragraph" w:styleId="Heading6">
    <w:name w:val="heading 6"/>
    <w:basedOn w:val="Normal"/>
    <w:next w:val="Normal"/>
    <w:qFormat/>
    <w:pPr>
      <w:keepNext/>
      <w:numPr>
        <w:numId w:val="8"/>
      </w:numPr>
      <w:ind w:right="0"/>
      <w:outlineLvl w:val="5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cs="AF_Diwani"/>
      <w:sz w:val="40"/>
      <w:szCs w:val="40"/>
    </w:rPr>
  </w:style>
  <w:style w:type="paragraph" w:styleId="Subtitle">
    <w:name w:val="Subtitle"/>
    <w:basedOn w:val="Normal"/>
    <w:qFormat/>
    <w:pPr>
      <w:jc w:val="center"/>
    </w:pPr>
    <w:rPr>
      <w:rFonts w:cs="AF_Unizah"/>
      <w:sz w:val="40"/>
      <w:szCs w:val="40"/>
    </w:r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styleId="EndnoteText">
    <w:name w:val="endnote text"/>
    <w:basedOn w:val="Normal"/>
    <w:semiHidden/>
    <w:rPr>
      <w:sz w:val="20"/>
      <w:szCs w:val="20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Header">
    <w:name w:val="header"/>
    <w:basedOn w:val="Normal"/>
    <w:link w:val="HeaderChar"/>
    <w:uiPriority w:val="99"/>
    <w:semiHidden/>
    <w:unhideWhenUsed/>
    <w:rsid w:val="00706F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06F95"/>
    <w:rPr>
      <w:sz w:val="24"/>
      <w:szCs w:val="24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522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5227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image" Target="media/image4.png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chart" Target="charts/chart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oleObject" Target="embeddings/oleObject1.bin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Microsoft_Excel_Worksheet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11555555555555556"/>
          <c:y val="6.1452513966480465E-2"/>
          <c:w val="0.84444444444444466"/>
          <c:h val="0.87290502793296088"/>
        </c:manualLayout>
      </c:layout>
      <c:barChart>
        <c:barDir val="bar"/>
        <c:grouping val="clustered"/>
        <c:varyColors val="0"/>
        <c:ser>
          <c:idx val="0"/>
          <c:order val="0"/>
          <c:tx>
            <c:v>1977</c:v>
          </c:tx>
          <c:spPr>
            <a:pattFill prst="dkHorz">
              <a:fgClr>
                <a:srgbClr val="9999FF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ورقة1!$A$1:$A$18</c:f>
              <c:strCache>
                <c:ptCount val="18"/>
                <c:pt idx="0">
                  <c:v>بعقوبة</c:v>
                </c:pt>
                <c:pt idx="1">
                  <c:v>جلولاء</c:v>
                </c:pt>
                <c:pt idx="2">
                  <c:v>خانقين</c:v>
                </c:pt>
                <c:pt idx="3">
                  <c:v>مندلي</c:v>
                </c:pt>
                <c:pt idx="4">
                  <c:v>سعدية</c:v>
                </c:pt>
                <c:pt idx="5">
                  <c:v>ابي صيدا</c:v>
                </c:pt>
                <c:pt idx="6">
                  <c:v>كفري</c:v>
                </c:pt>
                <c:pt idx="7">
                  <c:v>مقدادية</c:v>
                </c:pt>
                <c:pt idx="8">
                  <c:v>خالص</c:v>
                </c:pt>
                <c:pt idx="9">
                  <c:v>سيف سعد</c:v>
                </c:pt>
                <c:pt idx="10">
                  <c:v>بلدروز</c:v>
                </c:pt>
                <c:pt idx="11">
                  <c:v>قرطبة</c:v>
                </c:pt>
                <c:pt idx="12">
                  <c:v>كنعان</c:v>
                </c:pt>
                <c:pt idx="13">
                  <c:v>بني سعد</c:v>
                </c:pt>
                <c:pt idx="14">
                  <c:v>هبهب</c:v>
                </c:pt>
                <c:pt idx="15">
                  <c:v>وجيهية</c:v>
                </c:pt>
                <c:pt idx="16">
                  <c:v>منصورية</c:v>
                </c:pt>
                <c:pt idx="17">
                  <c:v>عظيم</c:v>
                </c:pt>
              </c:strCache>
            </c:strRef>
          </c:cat>
          <c:val>
            <c:numRef>
              <c:f>ورقة1!$B$1:$B$18</c:f>
              <c:numCache>
                <c:formatCode>General</c:formatCode>
                <c:ptCount val="18"/>
                <c:pt idx="0">
                  <c:v>95.384</c:v>
                </c:pt>
                <c:pt idx="1">
                  <c:v>66.537999999999997</c:v>
                </c:pt>
                <c:pt idx="2">
                  <c:v>65.353999999999999</c:v>
                </c:pt>
                <c:pt idx="3">
                  <c:v>60.313000000000002</c:v>
                </c:pt>
                <c:pt idx="4">
                  <c:v>46.71</c:v>
                </c:pt>
                <c:pt idx="5">
                  <c:v>43.283000000000001</c:v>
                </c:pt>
                <c:pt idx="6">
                  <c:v>41.181000000000004</c:v>
                </c:pt>
                <c:pt idx="7">
                  <c:v>39.902000000000001</c:v>
                </c:pt>
                <c:pt idx="8">
                  <c:v>39.730000000000011</c:v>
                </c:pt>
                <c:pt idx="9">
                  <c:v>30.564999999999994</c:v>
                </c:pt>
                <c:pt idx="10">
                  <c:v>25.398</c:v>
                </c:pt>
                <c:pt idx="11">
                  <c:v>22.518999999999991</c:v>
                </c:pt>
                <c:pt idx="12">
                  <c:v>12.614000000000001</c:v>
                </c:pt>
                <c:pt idx="13">
                  <c:v>12.315000000000003</c:v>
                </c:pt>
                <c:pt idx="14">
                  <c:v>11.222</c:v>
                </c:pt>
                <c:pt idx="15">
                  <c:v>10.033000000000001</c:v>
                </c:pt>
                <c:pt idx="16">
                  <c:v>5.5190000000000001</c:v>
                </c:pt>
                <c:pt idx="17">
                  <c:v>2.976999999999999</c:v>
                </c:pt>
              </c:numCache>
            </c:numRef>
          </c:val>
        </c:ser>
        <c:ser>
          <c:idx val="1"/>
          <c:order val="1"/>
          <c:tx>
            <c:v>1987</c:v>
          </c:tx>
          <c:spPr>
            <a:pattFill prst="dashVert">
              <a:fgClr>
                <a:srgbClr val="993366"/>
              </a:fgClr>
              <a:bgClr>
                <a:srgbClr val="FFFFFF"/>
              </a:bgClr>
            </a:patt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ورقة1!$A$1:$A$18</c:f>
              <c:strCache>
                <c:ptCount val="18"/>
                <c:pt idx="0">
                  <c:v>بعقوبة</c:v>
                </c:pt>
                <c:pt idx="1">
                  <c:v>جلولاء</c:v>
                </c:pt>
                <c:pt idx="2">
                  <c:v>خانقين</c:v>
                </c:pt>
                <c:pt idx="3">
                  <c:v>مندلي</c:v>
                </c:pt>
                <c:pt idx="4">
                  <c:v>سعدية</c:v>
                </c:pt>
                <c:pt idx="5">
                  <c:v>ابي صيدا</c:v>
                </c:pt>
                <c:pt idx="6">
                  <c:v>كفري</c:v>
                </c:pt>
                <c:pt idx="7">
                  <c:v>مقدادية</c:v>
                </c:pt>
                <c:pt idx="8">
                  <c:v>خالص</c:v>
                </c:pt>
                <c:pt idx="9">
                  <c:v>سيف سعد</c:v>
                </c:pt>
                <c:pt idx="10">
                  <c:v>بلدروز</c:v>
                </c:pt>
                <c:pt idx="11">
                  <c:v>قرطبة</c:v>
                </c:pt>
                <c:pt idx="12">
                  <c:v>كنعان</c:v>
                </c:pt>
                <c:pt idx="13">
                  <c:v>بني سعد</c:v>
                </c:pt>
                <c:pt idx="14">
                  <c:v>هبهب</c:v>
                </c:pt>
                <c:pt idx="15">
                  <c:v>وجيهية</c:v>
                </c:pt>
                <c:pt idx="16">
                  <c:v>منصورية</c:v>
                </c:pt>
                <c:pt idx="17">
                  <c:v>عظيم</c:v>
                </c:pt>
              </c:strCache>
            </c:strRef>
          </c:cat>
          <c:val>
            <c:numRef>
              <c:f>ورقة1!$C$1:$C$18</c:f>
              <c:numCache>
                <c:formatCode>General</c:formatCode>
                <c:ptCount val="18"/>
                <c:pt idx="0">
                  <c:v>68.757000000000005</c:v>
                </c:pt>
                <c:pt idx="1">
                  <c:v>70.169999999999987</c:v>
                </c:pt>
                <c:pt idx="2">
                  <c:v>45.730000000000011</c:v>
                </c:pt>
                <c:pt idx="4">
                  <c:v>37.618000000000002</c:v>
                </c:pt>
                <c:pt idx="5">
                  <c:v>45.876000000000005</c:v>
                </c:pt>
                <c:pt idx="6">
                  <c:v>77.013999999999996</c:v>
                </c:pt>
                <c:pt idx="7">
                  <c:v>47.596000000000011</c:v>
                </c:pt>
                <c:pt idx="8">
                  <c:v>34.581000000000003</c:v>
                </c:pt>
                <c:pt idx="9">
                  <c:v>21.292000000000002</c:v>
                </c:pt>
                <c:pt idx="10">
                  <c:v>59.471000000000004</c:v>
                </c:pt>
                <c:pt idx="11">
                  <c:v>33.935000000000002</c:v>
                </c:pt>
                <c:pt idx="12">
                  <c:v>34.569000000000003</c:v>
                </c:pt>
                <c:pt idx="13">
                  <c:v>13.946</c:v>
                </c:pt>
                <c:pt idx="14">
                  <c:v>32.074000000000005</c:v>
                </c:pt>
                <c:pt idx="15">
                  <c:v>13.878</c:v>
                </c:pt>
                <c:pt idx="16">
                  <c:v>19.375</c:v>
                </c:pt>
                <c:pt idx="17">
                  <c:v>15.395000000000003</c:v>
                </c:pt>
              </c:numCache>
            </c:numRef>
          </c:val>
        </c:ser>
        <c:ser>
          <c:idx val="2"/>
          <c:order val="2"/>
          <c:tx>
            <c:v>1997</c:v>
          </c:tx>
          <c:spPr>
            <a:blipFill dpi="0" rotWithShape="0">
              <a:blip xmlns:r="http://schemas.openxmlformats.org/officeDocument/2006/relationships" r:embed="rId1"/>
              <a:srcRect/>
              <a:tile tx="0" ty="0" sx="100000" sy="100000" flip="none" algn="tl"/>
            </a:blipFill>
            <a:ln w="1270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cat>
            <c:strRef>
              <c:f>ورقة1!$A$1:$A$18</c:f>
              <c:strCache>
                <c:ptCount val="18"/>
                <c:pt idx="0">
                  <c:v>بعقوبة</c:v>
                </c:pt>
                <c:pt idx="1">
                  <c:v>جلولاء</c:v>
                </c:pt>
                <c:pt idx="2">
                  <c:v>خانقين</c:v>
                </c:pt>
                <c:pt idx="3">
                  <c:v>مندلي</c:v>
                </c:pt>
                <c:pt idx="4">
                  <c:v>سعدية</c:v>
                </c:pt>
                <c:pt idx="5">
                  <c:v>ابي صيدا</c:v>
                </c:pt>
                <c:pt idx="6">
                  <c:v>كفري</c:v>
                </c:pt>
                <c:pt idx="7">
                  <c:v>مقدادية</c:v>
                </c:pt>
                <c:pt idx="8">
                  <c:v>خالص</c:v>
                </c:pt>
                <c:pt idx="9">
                  <c:v>سيف سعد</c:v>
                </c:pt>
                <c:pt idx="10">
                  <c:v>بلدروز</c:v>
                </c:pt>
                <c:pt idx="11">
                  <c:v>قرطبة</c:v>
                </c:pt>
                <c:pt idx="12">
                  <c:v>كنعان</c:v>
                </c:pt>
                <c:pt idx="13">
                  <c:v>بني سعد</c:v>
                </c:pt>
                <c:pt idx="14">
                  <c:v>هبهب</c:v>
                </c:pt>
                <c:pt idx="15">
                  <c:v>وجيهية</c:v>
                </c:pt>
                <c:pt idx="16">
                  <c:v>منصورية</c:v>
                </c:pt>
                <c:pt idx="17">
                  <c:v>عظيم</c:v>
                </c:pt>
              </c:strCache>
            </c:strRef>
          </c:cat>
          <c:val>
            <c:numRef>
              <c:f>ورقة1!$D$1:$D$18</c:f>
              <c:numCache>
                <c:formatCode>General</c:formatCode>
                <c:ptCount val="18"/>
                <c:pt idx="0">
                  <c:v>68.004000000000005</c:v>
                </c:pt>
                <c:pt idx="1">
                  <c:v>64.248000000000005</c:v>
                </c:pt>
                <c:pt idx="2">
                  <c:v>56.52</c:v>
                </c:pt>
                <c:pt idx="3">
                  <c:v>30.658999999999999</c:v>
                </c:pt>
                <c:pt idx="4">
                  <c:v>35.006</c:v>
                </c:pt>
                <c:pt idx="5">
                  <c:v>23.447999999999993</c:v>
                </c:pt>
                <c:pt idx="7">
                  <c:v>48.08</c:v>
                </c:pt>
                <c:pt idx="8">
                  <c:v>34.778000000000013</c:v>
                </c:pt>
                <c:pt idx="9">
                  <c:v>34.679000000000002</c:v>
                </c:pt>
                <c:pt idx="10">
                  <c:v>51.908000000000001</c:v>
                </c:pt>
                <c:pt idx="11">
                  <c:v>31.858000000000001</c:v>
                </c:pt>
                <c:pt idx="12">
                  <c:v>35.006</c:v>
                </c:pt>
                <c:pt idx="13">
                  <c:v>15.612</c:v>
                </c:pt>
                <c:pt idx="14">
                  <c:v>14.681000000000001</c:v>
                </c:pt>
                <c:pt idx="15">
                  <c:v>18.477</c:v>
                </c:pt>
                <c:pt idx="16">
                  <c:v>18.702999999999992</c:v>
                </c:pt>
                <c:pt idx="17">
                  <c:v>15.47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46240"/>
        <c:axId val="35547776"/>
      </c:barChart>
      <c:catAx>
        <c:axId val="35546240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9525">
            <a:noFill/>
          </a:ln>
        </c:spPr>
        <c:txPr>
          <a:bodyPr rot="0" vert="horz"/>
          <a:lstStyle/>
          <a:p>
            <a:pPr>
              <a:defRPr sz="1175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35547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3554777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175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35546240"/>
        <c:crosses val="autoZero"/>
        <c:crossBetween val="between"/>
      </c:valAx>
      <c:spPr>
        <a:solidFill>
          <a:srgbClr val="FFFFFF"/>
        </a:solidFill>
        <a:ln w="25400">
          <a:solidFill>
            <a:srgbClr val="000000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40296296296296319"/>
          <c:y val="5.5865921787709516E-3"/>
          <c:w val="0.26962962962962972"/>
          <c:h val="3.770949720670392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  <a:effectLst>
          <a:outerShdw dist="35921" dir="2700000" algn="br">
            <a:srgbClr val="000000"/>
          </a:outerShdw>
        </a:effectLst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  <c:showDLblsOverMax val="0"/>
  </c:chart>
  <c:spPr>
    <a:solidFill>
      <a:srgbClr val="FFFFFF"/>
    </a:solidFill>
    <a:ln w="25400">
      <a:solidFill>
        <a:srgbClr val="000000"/>
      </a:solidFill>
      <a:prstDash val="solid"/>
    </a:ln>
  </c:spPr>
  <c:txPr>
    <a:bodyPr/>
    <a:lstStyle/>
    <a:p>
      <a:pPr>
        <a:defRPr sz="1175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تمثيل بياني مقارن بين الحجم الحقيقي لمدن ديالى مع المفترض لعام 1957 </a:t>
            </a:r>
          </a:p>
        </c:rich>
      </c:tx>
      <c:layout>
        <c:manualLayout>
          <c:xMode val="edge"/>
          <c:yMode val="edge"/>
          <c:x val="0.15724381625441702"/>
          <c:y val="2.0958083832335321E-2"/>
        </c:manualLayout>
      </c:layout>
      <c:overlay val="0"/>
      <c:spPr>
        <a:noFill/>
        <a:ln w="25399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0070671378091876"/>
          <c:y val="0.26646706586826358"/>
          <c:w val="0.88162544169611334"/>
          <c:h val="0.5119760479041916"/>
        </c:manualLayout>
      </c:layout>
      <c:barChart>
        <c:barDir val="col"/>
        <c:grouping val="clustered"/>
        <c:varyColors val="0"/>
        <c:ser>
          <c:idx val="1"/>
          <c:order val="0"/>
          <c:tx>
            <c:v>المفترض</c:v>
          </c:tx>
          <c:spPr>
            <a:solidFill>
              <a:srgbClr val="FFFFFF"/>
            </a:solidFill>
            <a:ln w="25399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Sheet1!$A$1:$A$18</c:f>
              <c:strCache>
                <c:ptCount val="18"/>
                <c:pt idx="0">
                  <c:v>بعقوبة</c:v>
                </c:pt>
                <c:pt idx="1">
                  <c:v>خانقين</c:v>
                </c:pt>
                <c:pt idx="2">
                  <c:v>مندلي</c:v>
                </c:pt>
                <c:pt idx="3">
                  <c:v>مقدادية</c:v>
                </c:pt>
                <c:pt idx="4">
                  <c:v>كفري</c:v>
                </c:pt>
                <c:pt idx="5">
                  <c:v>خالص</c:v>
                </c:pt>
                <c:pt idx="6">
                  <c:v>السعدية</c:v>
                </c:pt>
                <c:pt idx="7">
                  <c:v>بلدروز</c:v>
                </c:pt>
                <c:pt idx="8">
                  <c:v>ابي صيدا</c:v>
                </c:pt>
                <c:pt idx="9">
                  <c:v>قره تبة</c:v>
                </c:pt>
                <c:pt idx="10">
                  <c:v>قزانية</c:v>
                </c:pt>
                <c:pt idx="11">
                  <c:v>منصورية</c:v>
                </c:pt>
                <c:pt idx="12">
                  <c:v>بني سعد</c:v>
                </c:pt>
                <c:pt idx="13">
                  <c:v>كنعان</c:v>
                </c:pt>
                <c:pt idx="14">
                  <c:v>وجيهية</c:v>
                </c:pt>
                <c:pt idx="15">
                  <c:v>هبهب</c:v>
                </c:pt>
                <c:pt idx="16">
                  <c:v>العظيم</c:v>
                </c:pt>
                <c:pt idx="17">
                  <c:v>جلولاء</c:v>
                </c:pt>
              </c:strCache>
            </c:strRef>
          </c:cat>
          <c:val>
            <c:numRef>
              <c:f>Sheet1!$B$1:$B$18</c:f>
              <c:numCache>
                <c:formatCode>General</c:formatCode>
                <c:ptCount val="18"/>
                <c:pt idx="0">
                  <c:v>23327</c:v>
                </c:pt>
                <c:pt idx="1">
                  <c:v>11664</c:v>
                </c:pt>
                <c:pt idx="2">
                  <c:v>7775</c:v>
                </c:pt>
                <c:pt idx="3">
                  <c:v>5832</c:v>
                </c:pt>
                <c:pt idx="4">
                  <c:v>4665</c:v>
                </c:pt>
                <c:pt idx="5">
                  <c:v>3888</c:v>
                </c:pt>
                <c:pt idx="6">
                  <c:v>3332</c:v>
                </c:pt>
                <c:pt idx="7">
                  <c:v>2916</c:v>
                </c:pt>
                <c:pt idx="8">
                  <c:v>2592</c:v>
                </c:pt>
                <c:pt idx="9">
                  <c:v>2333</c:v>
                </c:pt>
                <c:pt idx="10">
                  <c:v>2121</c:v>
                </c:pt>
                <c:pt idx="11">
                  <c:v>1944</c:v>
                </c:pt>
                <c:pt idx="12">
                  <c:v>1794</c:v>
                </c:pt>
                <c:pt idx="13">
                  <c:v>1666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573760"/>
        <c:axId val="35575680"/>
      </c:barChart>
      <c:lineChart>
        <c:grouping val="standard"/>
        <c:varyColors val="0"/>
        <c:ser>
          <c:idx val="0"/>
          <c:order val="1"/>
          <c:tx>
            <c:v>الحقيقي</c:v>
          </c:tx>
          <c:spPr>
            <a:ln w="25399">
              <a:solidFill>
                <a:srgbClr val="333333"/>
              </a:solidFill>
              <a:prstDash val="solid"/>
            </a:ln>
          </c:spPr>
          <c:marker>
            <c:symbol val="diamond"/>
            <c:size val="6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Sheet1!$A$1:$A$18</c:f>
              <c:strCache>
                <c:ptCount val="18"/>
                <c:pt idx="0">
                  <c:v>بعقوبة</c:v>
                </c:pt>
                <c:pt idx="1">
                  <c:v>خانقين</c:v>
                </c:pt>
                <c:pt idx="2">
                  <c:v>مندلي</c:v>
                </c:pt>
                <c:pt idx="3">
                  <c:v>مقدادية</c:v>
                </c:pt>
                <c:pt idx="4">
                  <c:v>كفري</c:v>
                </c:pt>
                <c:pt idx="5">
                  <c:v>خالص</c:v>
                </c:pt>
                <c:pt idx="6">
                  <c:v>السعدية</c:v>
                </c:pt>
                <c:pt idx="7">
                  <c:v>بلدروز</c:v>
                </c:pt>
                <c:pt idx="8">
                  <c:v>ابي صيدا</c:v>
                </c:pt>
                <c:pt idx="9">
                  <c:v>قره تبة</c:v>
                </c:pt>
                <c:pt idx="10">
                  <c:v>قزانية</c:v>
                </c:pt>
                <c:pt idx="11">
                  <c:v>منصورية</c:v>
                </c:pt>
                <c:pt idx="12">
                  <c:v>بني سعد</c:v>
                </c:pt>
                <c:pt idx="13">
                  <c:v>كنعان</c:v>
                </c:pt>
                <c:pt idx="14">
                  <c:v>وجيهية</c:v>
                </c:pt>
                <c:pt idx="15">
                  <c:v>هبهب</c:v>
                </c:pt>
                <c:pt idx="16">
                  <c:v>العظيم</c:v>
                </c:pt>
                <c:pt idx="17">
                  <c:v>جلولاء</c:v>
                </c:pt>
              </c:strCache>
            </c:strRef>
          </c:cat>
          <c:val>
            <c:numRef>
              <c:f>Sheet1!$C$1:$C$18</c:f>
              <c:numCache>
                <c:formatCode>General</c:formatCode>
                <c:ptCount val="18"/>
                <c:pt idx="0">
                  <c:v>18470</c:v>
                </c:pt>
                <c:pt idx="1">
                  <c:v>15076</c:v>
                </c:pt>
                <c:pt idx="2">
                  <c:v>9757</c:v>
                </c:pt>
                <c:pt idx="3">
                  <c:v>7648</c:v>
                </c:pt>
                <c:pt idx="4">
                  <c:v>5771</c:v>
                </c:pt>
                <c:pt idx="5">
                  <c:v>5480</c:v>
                </c:pt>
                <c:pt idx="6">
                  <c:v>3842</c:v>
                </c:pt>
                <c:pt idx="7">
                  <c:v>3617</c:v>
                </c:pt>
                <c:pt idx="8">
                  <c:v>2888</c:v>
                </c:pt>
                <c:pt idx="9">
                  <c:v>2601</c:v>
                </c:pt>
                <c:pt idx="10">
                  <c:v>1910</c:v>
                </c:pt>
                <c:pt idx="11">
                  <c:v>1125</c:v>
                </c:pt>
                <c:pt idx="12">
                  <c:v>764</c:v>
                </c:pt>
                <c:pt idx="13">
                  <c:v>507</c:v>
                </c:pt>
                <c:pt idx="14">
                  <c:v>0</c:v>
                </c:pt>
                <c:pt idx="15">
                  <c:v>0</c:v>
                </c:pt>
                <c:pt idx="16">
                  <c:v>0</c:v>
                </c:pt>
                <c:pt idx="1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577216"/>
        <c:axId val="35583104"/>
      </c:lineChart>
      <c:catAx>
        <c:axId val="35573760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00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35575680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575680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35573760"/>
        <c:crosses val="autoZero"/>
        <c:crossBetween val="between"/>
      </c:valAx>
      <c:catAx>
        <c:axId val="35577216"/>
        <c:scaling>
          <c:orientation val="minMax"/>
        </c:scaling>
        <c:delete val="1"/>
        <c:axPos val="b"/>
        <c:majorTickMark val="out"/>
        <c:minorTickMark val="none"/>
        <c:tickLblPos val="nextTo"/>
        <c:crossAx val="35583104"/>
        <c:crosses val="autoZero"/>
        <c:auto val="0"/>
        <c:lblAlgn val="ctr"/>
        <c:lblOffset val="100"/>
        <c:noMultiLvlLbl val="0"/>
      </c:catAx>
      <c:valAx>
        <c:axId val="35583104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5577216"/>
        <c:crosses val="autoZero"/>
        <c:crossBetween val="between"/>
      </c:valAx>
      <c:spPr>
        <a:solidFill>
          <a:srgbClr val="FFFFFF"/>
        </a:solidFill>
        <a:ln w="25399">
          <a:solidFill>
            <a:srgbClr val="333333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31625441696113077"/>
          <c:y val="0.11377245508982038"/>
          <c:w val="0.39045936395759739"/>
          <c:h val="7.1856287425149726E-2"/>
        </c:manualLayout>
      </c:layout>
      <c:overlay val="0"/>
      <c:spPr>
        <a:solidFill>
          <a:srgbClr val="FFFFFF"/>
        </a:solidFill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ar-SA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r>
              <a:t>تمثيل بياني مقارن بين الحجم الحقيقي لمدن ديالى مع المفترض لعام 1997</a:t>
            </a:r>
          </a:p>
        </c:rich>
      </c:tx>
      <c:layout>
        <c:manualLayout>
          <c:xMode val="edge"/>
          <c:yMode val="edge"/>
          <c:x val="0.15329768270944746"/>
          <c:y val="2.1212121212121217E-2"/>
        </c:manualLayout>
      </c:layout>
      <c:overlay val="0"/>
      <c:spPr>
        <a:noFill/>
        <a:ln w="26117">
          <a:noFill/>
        </a:ln>
      </c:spPr>
    </c:title>
    <c:autoTitleDeleted val="0"/>
    <c:plotArea>
      <c:layout>
        <c:manualLayout>
          <c:layoutTarget val="inner"/>
          <c:xMode val="edge"/>
          <c:yMode val="edge"/>
          <c:x val="0.11408199643493759"/>
          <c:y val="0.27575757575757581"/>
          <c:w val="0.86809269162210356"/>
          <c:h val="0.5"/>
        </c:manualLayout>
      </c:layout>
      <c:barChart>
        <c:barDir val="col"/>
        <c:grouping val="clustered"/>
        <c:varyColors val="0"/>
        <c:ser>
          <c:idx val="1"/>
          <c:order val="0"/>
          <c:tx>
            <c:v>المفترض</c:v>
          </c:tx>
          <c:spPr>
            <a:solidFill>
              <a:srgbClr val="FFFFFF"/>
            </a:solidFill>
            <a:ln w="26117">
              <a:solidFill>
                <a:srgbClr val="000000"/>
              </a:solidFill>
              <a:prstDash val="solid"/>
            </a:ln>
          </c:spPr>
          <c:invertIfNegative val="0"/>
          <c:cat>
            <c:strRef>
              <c:f>Sheet1!$A$1:$A$18</c:f>
              <c:strCache>
                <c:ptCount val="18"/>
                <c:pt idx="0">
                  <c:v>بعقوبة</c:v>
                </c:pt>
                <c:pt idx="1">
                  <c:v>مقدادية</c:v>
                </c:pt>
                <c:pt idx="2">
                  <c:v>الخالص</c:v>
                </c:pt>
                <c:pt idx="3">
                  <c:v>بلدروز</c:v>
                </c:pt>
                <c:pt idx="4">
                  <c:v>جلولاء</c:v>
                </c:pt>
                <c:pt idx="5">
                  <c:v>خانقين</c:v>
                </c:pt>
                <c:pt idx="6">
                  <c:v>بني سعد</c:v>
                </c:pt>
                <c:pt idx="7">
                  <c:v>كنعان</c:v>
                </c:pt>
                <c:pt idx="8">
                  <c:v>السعدية</c:v>
                </c:pt>
                <c:pt idx="9">
                  <c:v>هبهب</c:v>
                </c:pt>
                <c:pt idx="10">
                  <c:v>ابي صيدا</c:v>
                </c:pt>
                <c:pt idx="11">
                  <c:v>قره تبة</c:v>
                </c:pt>
                <c:pt idx="12">
                  <c:v>منصورية</c:v>
                </c:pt>
                <c:pt idx="13">
                  <c:v>وجيهية</c:v>
                </c:pt>
                <c:pt idx="14">
                  <c:v>مندلي</c:v>
                </c:pt>
                <c:pt idx="15">
                  <c:v>قزانية</c:v>
                </c:pt>
                <c:pt idx="16">
                  <c:v>العظيم</c:v>
                </c:pt>
                <c:pt idx="17">
                  <c:v>كفري</c:v>
                </c:pt>
              </c:strCache>
            </c:strRef>
          </c:cat>
          <c:val>
            <c:numRef>
              <c:f>Sheet1!$B$1:$B$18</c:f>
              <c:numCache>
                <c:formatCode>General</c:formatCode>
                <c:ptCount val="18"/>
                <c:pt idx="0">
                  <c:v>139240</c:v>
                </c:pt>
                <c:pt idx="1">
                  <c:v>69620</c:v>
                </c:pt>
                <c:pt idx="2">
                  <c:v>46413</c:v>
                </c:pt>
                <c:pt idx="3">
                  <c:v>34810</c:v>
                </c:pt>
                <c:pt idx="4">
                  <c:v>27848</c:v>
                </c:pt>
                <c:pt idx="5">
                  <c:v>23207</c:v>
                </c:pt>
                <c:pt idx="6">
                  <c:v>19891</c:v>
                </c:pt>
                <c:pt idx="7">
                  <c:v>17405</c:v>
                </c:pt>
                <c:pt idx="8">
                  <c:v>15471</c:v>
                </c:pt>
                <c:pt idx="9">
                  <c:v>13924</c:v>
                </c:pt>
                <c:pt idx="10">
                  <c:v>12658</c:v>
                </c:pt>
                <c:pt idx="11">
                  <c:v>11603</c:v>
                </c:pt>
                <c:pt idx="12">
                  <c:v>10711</c:v>
                </c:pt>
                <c:pt idx="13">
                  <c:v>9946</c:v>
                </c:pt>
                <c:pt idx="14">
                  <c:v>9283</c:v>
                </c:pt>
                <c:pt idx="15">
                  <c:v>8703</c:v>
                </c:pt>
                <c:pt idx="16">
                  <c:v>8191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35043584"/>
        <c:axId val="35049856"/>
      </c:barChart>
      <c:lineChart>
        <c:grouping val="standard"/>
        <c:varyColors val="0"/>
        <c:ser>
          <c:idx val="0"/>
          <c:order val="1"/>
          <c:tx>
            <c:v>الحقيقي</c:v>
          </c:tx>
          <c:spPr>
            <a:ln w="26117">
              <a:solidFill>
                <a:srgbClr val="333333"/>
              </a:solidFill>
              <a:prstDash val="solid"/>
            </a:ln>
          </c:spPr>
          <c:marker>
            <c:symbol val="diamond"/>
            <c:size val="7"/>
            <c:spPr>
              <a:solidFill>
                <a:srgbClr val="000080"/>
              </a:solidFill>
              <a:ln>
                <a:solidFill>
                  <a:srgbClr val="000080"/>
                </a:solidFill>
                <a:prstDash val="solid"/>
              </a:ln>
            </c:spPr>
          </c:marker>
          <c:cat>
            <c:strRef>
              <c:f>Sheet1!$A$1:$A$18</c:f>
              <c:strCache>
                <c:ptCount val="18"/>
                <c:pt idx="0">
                  <c:v>بعقوبة</c:v>
                </c:pt>
                <c:pt idx="1">
                  <c:v>مقدادية</c:v>
                </c:pt>
                <c:pt idx="2">
                  <c:v>الخالص</c:v>
                </c:pt>
                <c:pt idx="3">
                  <c:v>بلدروز</c:v>
                </c:pt>
                <c:pt idx="4">
                  <c:v>جلولاء</c:v>
                </c:pt>
                <c:pt idx="5">
                  <c:v>خانقين</c:v>
                </c:pt>
                <c:pt idx="6">
                  <c:v>بني سعد</c:v>
                </c:pt>
                <c:pt idx="7">
                  <c:v>كنعان</c:v>
                </c:pt>
                <c:pt idx="8">
                  <c:v>السعدية</c:v>
                </c:pt>
                <c:pt idx="9">
                  <c:v>هبهب</c:v>
                </c:pt>
                <c:pt idx="10">
                  <c:v>ابي صيدا</c:v>
                </c:pt>
                <c:pt idx="11">
                  <c:v>قره تبة</c:v>
                </c:pt>
                <c:pt idx="12">
                  <c:v>منصورية</c:v>
                </c:pt>
                <c:pt idx="13">
                  <c:v>وجيهية</c:v>
                </c:pt>
                <c:pt idx="14">
                  <c:v>مندلي</c:v>
                </c:pt>
                <c:pt idx="15">
                  <c:v>قزانية</c:v>
                </c:pt>
                <c:pt idx="16">
                  <c:v>العظيم</c:v>
                </c:pt>
                <c:pt idx="17">
                  <c:v>كفري</c:v>
                </c:pt>
              </c:strCache>
            </c:strRef>
          </c:cat>
          <c:val>
            <c:numRef>
              <c:f>Sheet1!$C$1:$C$18</c:f>
              <c:numCache>
                <c:formatCode>General</c:formatCode>
                <c:ptCount val="18"/>
                <c:pt idx="0">
                  <c:v>194976</c:v>
                </c:pt>
                <c:pt idx="1">
                  <c:v>52458</c:v>
                </c:pt>
                <c:pt idx="2">
                  <c:v>39644</c:v>
                </c:pt>
                <c:pt idx="3">
                  <c:v>35594</c:v>
                </c:pt>
                <c:pt idx="4">
                  <c:v>30273</c:v>
                </c:pt>
                <c:pt idx="5">
                  <c:v>29360</c:v>
                </c:pt>
                <c:pt idx="6">
                  <c:v>21139</c:v>
                </c:pt>
                <c:pt idx="7">
                  <c:v>12429</c:v>
                </c:pt>
                <c:pt idx="8">
                  <c:v>11136</c:v>
                </c:pt>
                <c:pt idx="9">
                  <c:v>9488</c:v>
                </c:pt>
                <c:pt idx="10">
                  <c:v>9127</c:v>
                </c:pt>
                <c:pt idx="11">
                  <c:v>8290</c:v>
                </c:pt>
                <c:pt idx="12">
                  <c:v>7105</c:v>
                </c:pt>
                <c:pt idx="13">
                  <c:v>9004</c:v>
                </c:pt>
                <c:pt idx="14">
                  <c:v>5621</c:v>
                </c:pt>
                <c:pt idx="15">
                  <c:v>4036</c:v>
                </c:pt>
                <c:pt idx="16">
                  <c:v>2223</c:v>
                </c:pt>
                <c:pt idx="1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35051392"/>
        <c:axId val="35052928"/>
      </c:lineChart>
      <c:catAx>
        <c:axId val="35043584"/>
        <c:scaling>
          <c:orientation val="minMax"/>
        </c:scaling>
        <c:delete val="0"/>
        <c:axPos val="b"/>
        <c:numFmt formatCode="General" sourceLinked="1"/>
        <c:majorTickMark val="cross"/>
        <c:minorTickMark val="none"/>
        <c:tickLblPos val="nextTo"/>
        <c:spPr>
          <a:ln w="326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1234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35049856"/>
        <c:crosses val="autoZero"/>
        <c:auto val="0"/>
        <c:lblAlgn val="ctr"/>
        <c:lblOffset val="100"/>
        <c:tickLblSkip val="1"/>
        <c:tickMarkSkip val="1"/>
        <c:noMultiLvlLbl val="0"/>
      </c:catAx>
      <c:valAx>
        <c:axId val="35049856"/>
        <c:scaling>
          <c:orientation val="minMax"/>
        </c:scaling>
        <c:delete val="0"/>
        <c:axPos val="l"/>
        <c:numFmt formatCode="General" sourceLinked="1"/>
        <c:majorTickMark val="cross"/>
        <c:minorTickMark val="none"/>
        <c:tickLblPos val="nextTo"/>
        <c:spPr>
          <a:ln w="326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8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ar-SA"/>
          </a:p>
        </c:txPr>
        <c:crossAx val="35043584"/>
        <c:crosses val="autoZero"/>
        <c:crossBetween val="between"/>
      </c:valAx>
      <c:catAx>
        <c:axId val="35051392"/>
        <c:scaling>
          <c:orientation val="minMax"/>
        </c:scaling>
        <c:delete val="1"/>
        <c:axPos val="b"/>
        <c:majorTickMark val="out"/>
        <c:minorTickMark val="none"/>
        <c:tickLblPos val="nextTo"/>
        <c:crossAx val="35052928"/>
        <c:crosses val="autoZero"/>
        <c:auto val="0"/>
        <c:lblAlgn val="ctr"/>
        <c:lblOffset val="100"/>
        <c:noMultiLvlLbl val="0"/>
      </c:catAx>
      <c:valAx>
        <c:axId val="3505292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35051392"/>
        <c:crosses val="autoZero"/>
        <c:crossBetween val="between"/>
      </c:valAx>
      <c:spPr>
        <a:solidFill>
          <a:srgbClr val="FFFFFF"/>
        </a:solidFill>
        <a:ln w="26117">
          <a:solidFill>
            <a:srgbClr val="333333"/>
          </a:solidFill>
          <a:prstDash val="solid"/>
        </a:ln>
      </c:spPr>
    </c:plotArea>
    <c:legend>
      <c:legendPos val="t"/>
      <c:layout>
        <c:manualLayout>
          <c:xMode val="edge"/>
          <c:yMode val="edge"/>
          <c:x val="0.41711229946524087"/>
          <c:y val="0.13636363636363635"/>
          <c:w val="0.26024955436720143"/>
          <c:h val="7.2727272727272724E-2"/>
        </c:manualLayout>
      </c:layout>
      <c:overlay val="0"/>
      <c:spPr>
        <a:solidFill>
          <a:srgbClr val="FFFFFF"/>
        </a:solidFill>
        <a:ln w="3265">
          <a:solidFill>
            <a:srgbClr val="000000"/>
          </a:solidFill>
          <a:prstDash val="solid"/>
        </a:ln>
      </c:spPr>
      <c:txPr>
        <a:bodyPr/>
        <a:lstStyle/>
        <a:p>
          <a:pPr>
            <a:defRPr sz="946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ar-SA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28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ar-SA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20</Pages>
  <Words>3643</Words>
  <Characters>20768</Characters>
  <Application>Microsoft Office Word</Application>
  <DocSecurity>0</DocSecurity>
  <Lines>173</Lines>
  <Paragraphs>48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بسم الله الرحمن الرحيم</vt:lpstr>
      <vt:lpstr>بسم الله الرحمن الرحيم</vt:lpstr>
    </vt:vector>
  </TitlesOfParts>
  <Company>maads</Company>
  <LinksUpToDate>false</LinksUpToDate>
  <CharactersWithSpaces>24363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 الله الرحمن الرحيم</dc:title>
  <dc:subject/>
  <dc:creator>Mothar</dc:creator>
  <cp:keywords/>
  <dc:description/>
  <cp:lastModifiedBy>Muthar Omar</cp:lastModifiedBy>
  <cp:revision>3</cp:revision>
  <dcterms:created xsi:type="dcterms:W3CDTF">2011-05-18T15:22:00Z</dcterms:created>
  <dcterms:modified xsi:type="dcterms:W3CDTF">2016-08-17T08:01:00Z</dcterms:modified>
</cp:coreProperties>
</file>